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C084" w14:textId="7B9142A1" w:rsidR="00421EE9" w:rsidRDefault="00421EE9" w:rsidP="00421EE9">
      <w:pPr>
        <w:spacing w:line="480" w:lineRule="auto"/>
        <w:rPr>
          <w:rFonts w:cstheme="minorHAnsi"/>
          <w:sz w:val="24"/>
          <w:szCs w:val="24"/>
        </w:rPr>
      </w:pPr>
      <w:r>
        <w:rPr>
          <w:rFonts w:cstheme="minorHAnsi"/>
          <w:sz w:val="24"/>
          <w:szCs w:val="24"/>
        </w:rPr>
        <w:t xml:space="preserve">[This is a pre-publication version of the following article: Viljoen, D. &amp; Ayton, A. (2021). </w:t>
      </w:r>
      <w:r w:rsidRPr="0074586E">
        <w:rPr>
          <w:rFonts w:cstheme="minorHAnsi"/>
          <w:sz w:val="24"/>
          <w:szCs w:val="24"/>
        </w:rPr>
        <w:t>Results and Learning from the Healthy Outcomes for People with Eating Disorders (HOPE) New Care Model (Provider Collaborative) pilot: More investment required to address demand and capacity in adult community and inpatient eating disorder services</w:t>
      </w:r>
      <w:r>
        <w:rPr>
          <w:rFonts w:cstheme="minorHAnsi"/>
          <w:sz w:val="24"/>
          <w:szCs w:val="24"/>
        </w:rPr>
        <w:t xml:space="preserve">, </w:t>
      </w:r>
      <w:r w:rsidRPr="00302A29">
        <w:rPr>
          <w:rFonts w:cstheme="minorHAnsi"/>
          <w:i/>
          <w:iCs/>
          <w:sz w:val="24"/>
          <w:szCs w:val="24"/>
        </w:rPr>
        <w:t xml:space="preserve">Clinical Psychology Forum, </w:t>
      </w:r>
      <w:r>
        <w:rPr>
          <w:rFonts w:cstheme="minorHAnsi"/>
          <w:sz w:val="24"/>
          <w:szCs w:val="24"/>
        </w:rPr>
        <w:t>34</w:t>
      </w:r>
      <w:r w:rsidR="00F672B3">
        <w:rPr>
          <w:rFonts w:cstheme="minorHAnsi"/>
          <w:sz w:val="24"/>
          <w:szCs w:val="24"/>
        </w:rPr>
        <w:t>3</w:t>
      </w:r>
      <w:r w:rsidR="00571F1D">
        <w:rPr>
          <w:rFonts w:cstheme="minorHAnsi"/>
          <w:sz w:val="24"/>
          <w:szCs w:val="24"/>
        </w:rPr>
        <w:t>, p.</w:t>
      </w:r>
      <w:r w:rsidR="00D74D5E">
        <w:rPr>
          <w:rFonts w:cstheme="minorHAnsi"/>
          <w:sz w:val="24"/>
          <w:szCs w:val="24"/>
        </w:rPr>
        <w:t>96-101</w:t>
      </w:r>
      <w:r>
        <w:rPr>
          <w:rFonts w:cstheme="minorHAnsi"/>
          <w:sz w:val="24"/>
          <w:szCs w:val="24"/>
        </w:rPr>
        <w:t xml:space="preserve">] </w:t>
      </w:r>
    </w:p>
    <w:p w14:paraId="0C67BC58" w14:textId="77777777" w:rsidR="00421EE9" w:rsidRDefault="00421EE9" w:rsidP="00421EE9">
      <w:pPr>
        <w:spacing w:line="480" w:lineRule="auto"/>
        <w:rPr>
          <w:rFonts w:cstheme="minorHAnsi"/>
          <w:sz w:val="24"/>
          <w:szCs w:val="24"/>
        </w:rPr>
      </w:pPr>
    </w:p>
    <w:p w14:paraId="53CADAD1" w14:textId="7594056D" w:rsidR="003B6F80" w:rsidRPr="00BF02A2" w:rsidRDefault="007A7387" w:rsidP="00E764AA">
      <w:pPr>
        <w:spacing w:before="144" w:after="0" w:line="480" w:lineRule="auto"/>
        <w:jc w:val="center"/>
        <w:rPr>
          <w:rFonts w:cstheme="minorHAnsi"/>
          <w:i/>
          <w:iCs/>
          <w:sz w:val="24"/>
          <w:szCs w:val="24"/>
        </w:rPr>
      </w:pPr>
      <w:r>
        <w:rPr>
          <w:rFonts w:eastAsia="Segoe UI" w:cstheme="minorHAnsi"/>
          <w:b/>
          <w:bCs/>
          <w:kern w:val="24"/>
          <w:sz w:val="24"/>
          <w:szCs w:val="24"/>
          <w:lang w:val="en-US" w:eastAsia="en-GB"/>
        </w:rPr>
        <w:t xml:space="preserve">Results and </w:t>
      </w:r>
      <w:r w:rsidR="00A010F1" w:rsidRPr="00BF02A2">
        <w:rPr>
          <w:rFonts w:eastAsia="Segoe UI" w:cstheme="minorHAnsi"/>
          <w:b/>
          <w:bCs/>
          <w:kern w:val="24"/>
          <w:sz w:val="24"/>
          <w:szCs w:val="24"/>
          <w:lang w:val="en-US" w:eastAsia="en-GB"/>
        </w:rPr>
        <w:t>Learning from the Healthy Outcomes for People with Eating Disorders (HOPE) New Care Model</w:t>
      </w:r>
      <w:r w:rsidR="003A55CD">
        <w:rPr>
          <w:rFonts w:eastAsia="Segoe UI" w:cstheme="minorHAnsi"/>
          <w:b/>
          <w:bCs/>
          <w:kern w:val="24"/>
          <w:sz w:val="24"/>
          <w:szCs w:val="24"/>
          <w:lang w:val="en-US" w:eastAsia="en-GB"/>
        </w:rPr>
        <w:t xml:space="preserve"> (</w:t>
      </w:r>
      <w:r w:rsidR="001F21AF" w:rsidRPr="00BF02A2">
        <w:rPr>
          <w:rFonts w:eastAsia="Segoe UI" w:cstheme="minorHAnsi"/>
          <w:b/>
          <w:bCs/>
          <w:kern w:val="24"/>
          <w:sz w:val="24"/>
          <w:szCs w:val="24"/>
          <w:lang w:val="en-US" w:eastAsia="en-GB"/>
        </w:rPr>
        <w:t>Provider Collaborative</w:t>
      </w:r>
      <w:r w:rsidR="003A55CD">
        <w:rPr>
          <w:rFonts w:eastAsia="Segoe UI" w:cstheme="minorHAnsi"/>
          <w:b/>
          <w:bCs/>
          <w:kern w:val="24"/>
          <w:sz w:val="24"/>
          <w:szCs w:val="24"/>
          <w:lang w:val="en-US" w:eastAsia="en-GB"/>
        </w:rPr>
        <w:t>)</w:t>
      </w:r>
      <w:r w:rsidR="00A010F1" w:rsidRPr="00BF02A2">
        <w:rPr>
          <w:rFonts w:eastAsia="Segoe UI" w:cstheme="minorHAnsi"/>
          <w:b/>
          <w:bCs/>
          <w:kern w:val="24"/>
          <w:sz w:val="24"/>
          <w:szCs w:val="24"/>
          <w:lang w:val="en-US" w:eastAsia="en-GB"/>
        </w:rPr>
        <w:t xml:space="preserve"> pilot: More investment required </w:t>
      </w:r>
      <w:r w:rsidR="002F64B7" w:rsidRPr="00BF02A2">
        <w:rPr>
          <w:rFonts w:eastAsia="Segoe UI" w:cstheme="minorHAnsi"/>
          <w:b/>
          <w:bCs/>
          <w:kern w:val="24"/>
          <w:sz w:val="24"/>
          <w:szCs w:val="24"/>
          <w:lang w:val="en-US" w:eastAsia="en-GB"/>
        </w:rPr>
        <w:t xml:space="preserve">to </w:t>
      </w:r>
      <w:r w:rsidR="0083469C" w:rsidRPr="00BF02A2">
        <w:rPr>
          <w:rFonts w:eastAsia="Segoe UI" w:cstheme="minorHAnsi"/>
          <w:b/>
          <w:bCs/>
          <w:kern w:val="24"/>
          <w:sz w:val="24"/>
          <w:szCs w:val="24"/>
          <w:lang w:val="en-US" w:eastAsia="en-GB"/>
        </w:rPr>
        <w:t>address</w:t>
      </w:r>
      <w:r w:rsidR="00B41BA0" w:rsidRPr="00BF02A2">
        <w:rPr>
          <w:rFonts w:eastAsia="Segoe UI" w:cstheme="minorHAnsi"/>
          <w:b/>
          <w:bCs/>
          <w:kern w:val="24"/>
          <w:sz w:val="24"/>
          <w:szCs w:val="24"/>
          <w:lang w:val="en-US" w:eastAsia="en-GB"/>
        </w:rPr>
        <w:t xml:space="preserve"> </w:t>
      </w:r>
      <w:r w:rsidR="00127C21" w:rsidRPr="00BF02A2">
        <w:rPr>
          <w:rFonts w:eastAsia="Segoe UI" w:cstheme="minorHAnsi"/>
          <w:b/>
          <w:bCs/>
          <w:kern w:val="24"/>
          <w:sz w:val="24"/>
          <w:szCs w:val="24"/>
          <w:lang w:val="en-US" w:eastAsia="en-GB"/>
        </w:rPr>
        <w:t xml:space="preserve">demand and capacity </w:t>
      </w:r>
      <w:r w:rsidR="0083469C" w:rsidRPr="00BF02A2">
        <w:rPr>
          <w:rFonts w:eastAsia="Segoe UI" w:cstheme="minorHAnsi"/>
          <w:b/>
          <w:bCs/>
          <w:kern w:val="24"/>
          <w:sz w:val="24"/>
          <w:szCs w:val="24"/>
          <w:lang w:val="en-US" w:eastAsia="en-GB"/>
        </w:rPr>
        <w:t xml:space="preserve">in adult </w:t>
      </w:r>
      <w:r w:rsidR="006F059D" w:rsidRPr="00BF02A2">
        <w:rPr>
          <w:rFonts w:eastAsia="Segoe UI" w:cstheme="minorHAnsi"/>
          <w:b/>
          <w:bCs/>
          <w:kern w:val="24"/>
          <w:sz w:val="24"/>
          <w:szCs w:val="24"/>
          <w:lang w:val="en-US" w:eastAsia="en-GB"/>
        </w:rPr>
        <w:t xml:space="preserve">community and </w:t>
      </w:r>
      <w:r w:rsidR="008E2C7E" w:rsidRPr="00BF02A2">
        <w:rPr>
          <w:rFonts w:eastAsia="Segoe UI" w:cstheme="minorHAnsi"/>
          <w:b/>
          <w:bCs/>
          <w:kern w:val="24"/>
          <w:sz w:val="24"/>
          <w:szCs w:val="24"/>
          <w:lang w:val="en-US" w:eastAsia="en-GB"/>
        </w:rPr>
        <w:t>inpatient</w:t>
      </w:r>
      <w:r w:rsidR="006F059D" w:rsidRPr="00BF02A2">
        <w:rPr>
          <w:rFonts w:eastAsia="Segoe UI" w:cstheme="minorHAnsi"/>
          <w:b/>
          <w:bCs/>
          <w:kern w:val="24"/>
          <w:sz w:val="24"/>
          <w:szCs w:val="24"/>
          <w:lang w:val="en-US" w:eastAsia="en-GB"/>
        </w:rPr>
        <w:t xml:space="preserve"> eating disorder services</w:t>
      </w:r>
    </w:p>
    <w:p w14:paraId="16ED4A79" w14:textId="77777777" w:rsidR="006F123D" w:rsidRPr="00BF02A2" w:rsidRDefault="006F123D" w:rsidP="00E764AA">
      <w:pPr>
        <w:spacing w:line="480" w:lineRule="auto"/>
        <w:rPr>
          <w:rFonts w:cstheme="minorHAnsi"/>
          <w:sz w:val="24"/>
          <w:szCs w:val="24"/>
        </w:rPr>
      </w:pPr>
    </w:p>
    <w:p w14:paraId="466C957D" w14:textId="78D95B96" w:rsidR="00DF7EE4" w:rsidRDefault="00092AA1" w:rsidP="00E764AA">
      <w:pPr>
        <w:spacing w:line="480" w:lineRule="auto"/>
        <w:rPr>
          <w:rFonts w:cstheme="minorHAnsi"/>
          <w:i/>
          <w:iCs/>
          <w:sz w:val="24"/>
          <w:szCs w:val="24"/>
        </w:rPr>
      </w:pPr>
      <w:r w:rsidRPr="00092AA1">
        <w:rPr>
          <w:rFonts w:cstheme="minorHAnsi"/>
          <w:i/>
          <w:iCs/>
          <w:sz w:val="24"/>
          <w:szCs w:val="24"/>
        </w:rPr>
        <w:t>This article reports on pilot results and lessons learned from the HOPE New Care Model (Provider Collaborative). Pre-pandemic 12 beds were needed per million population. Demand for beds could be reduced by addressing the variance in mean length of stay between inpatient providers and offering evidence-based inpatient and community treatments. More investment is required to address demand and capacity in both adult community and inpatient eating disorders services.</w:t>
      </w:r>
    </w:p>
    <w:p w14:paraId="459B88B8" w14:textId="77777777" w:rsidR="00421EE9" w:rsidRPr="00BF02A2" w:rsidRDefault="00421EE9" w:rsidP="00E764AA">
      <w:pPr>
        <w:spacing w:line="480" w:lineRule="auto"/>
        <w:rPr>
          <w:rFonts w:cstheme="minorHAnsi"/>
          <w:i/>
          <w:iCs/>
          <w:sz w:val="24"/>
          <w:szCs w:val="24"/>
        </w:rPr>
      </w:pPr>
    </w:p>
    <w:p w14:paraId="54980273" w14:textId="42C6EB48" w:rsidR="001B1016" w:rsidRDefault="0051417D" w:rsidP="00E764AA">
      <w:pPr>
        <w:spacing w:line="480" w:lineRule="auto"/>
        <w:rPr>
          <w:rFonts w:cstheme="minorHAnsi"/>
          <w:sz w:val="24"/>
          <w:szCs w:val="24"/>
        </w:rPr>
      </w:pPr>
      <w:r w:rsidRPr="00BF02A2">
        <w:rPr>
          <w:rFonts w:cstheme="minorHAnsi"/>
          <w:sz w:val="24"/>
          <w:szCs w:val="24"/>
        </w:rPr>
        <w:t xml:space="preserve">The aims of the new care model </w:t>
      </w:r>
      <w:r w:rsidR="004B2C34" w:rsidRPr="00BF02A2">
        <w:rPr>
          <w:rFonts w:cstheme="minorHAnsi"/>
          <w:sz w:val="24"/>
          <w:szCs w:val="24"/>
        </w:rPr>
        <w:t xml:space="preserve">(NCM) </w:t>
      </w:r>
      <w:r w:rsidRPr="00BF02A2">
        <w:rPr>
          <w:rFonts w:cstheme="minorHAnsi"/>
          <w:sz w:val="24"/>
          <w:szCs w:val="24"/>
        </w:rPr>
        <w:t xml:space="preserve">pilots </w:t>
      </w:r>
      <w:r w:rsidR="0035432A" w:rsidRPr="00BF02A2">
        <w:rPr>
          <w:rFonts w:cstheme="minorHAnsi"/>
          <w:sz w:val="24"/>
          <w:szCs w:val="24"/>
        </w:rPr>
        <w:t xml:space="preserve">in England </w:t>
      </w:r>
      <w:r w:rsidRPr="00BF02A2">
        <w:rPr>
          <w:rFonts w:cstheme="minorHAnsi"/>
          <w:sz w:val="24"/>
          <w:szCs w:val="24"/>
        </w:rPr>
        <w:t>w</w:t>
      </w:r>
      <w:r w:rsidR="00865628" w:rsidRPr="00BF02A2">
        <w:rPr>
          <w:rFonts w:cstheme="minorHAnsi"/>
          <w:sz w:val="24"/>
          <w:szCs w:val="24"/>
        </w:rPr>
        <w:t>ere to bring care closer to home by reducing out</w:t>
      </w:r>
      <w:r w:rsidR="00E52DD8">
        <w:rPr>
          <w:rFonts w:cstheme="minorHAnsi"/>
          <w:sz w:val="24"/>
          <w:szCs w:val="24"/>
        </w:rPr>
        <w:t>-</w:t>
      </w:r>
      <w:r w:rsidR="00865628" w:rsidRPr="00BF02A2">
        <w:rPr>
          <w:rFonts w:cstheme="minorHAnsi"/>
          <w:sz w:val="24"/>
          <w:szCs w:val="24"/>
        </w:rPr>
        <w:t>of</w:t>
      </w:r>
      <w:r w:rsidR="00E52DD8">
        <w:rPr>
          <w:rFonts w:cstheme="minorHAnsi"/>
          <w:sz w:val="24"/>
          <w:szCs w:val="24"/>
        </w:rPr>
        <w:t>-</w:t>
      </w:r>
      <w:r w:rsidR="00865628" w:rsidRPr="00BF02A2">
        <w:rPr>
          <w:rFonts w:cstheme="minorHAnsi"/>
          <w:sz w:val="24"/>
          <w:szCs w:val="24"/>
        </w:rPr>
        <w:t xml:space="preserve">area </w:t>
      </w:r>
      <w:r w:rsidR="00975AF1" w:rsidRPr="00BF02A2">
        <w:rPr>
          <w:rFonts w:cstheme="minorHAnsi"/>
          <w:sz w:val="24"/>
          <w:szCs w:val="24"/>
        </w:rPr>
        <w:t>admissions</w:t>
      </w:r>
      <w:r w:rsidR="00865628" w:rsidRPr="00BF02A2">
        <w:rPr>
          <w:rFonts w:cstheme="minorHAnsi"/>
          <w:sz w:val="24"/>
          <w:szCs w:val="24"/>
        </w:rPr>
        <w:t xml:space="preserve">, to reduce the length of inpatient stays, </w:t>
      </w:r>
      <w:r w:rsidR="002F784A" w:rsidRPr="00BF02A2">
        <w:rPr>
          <w:rFonts w:cstheme="minorHAnsi"/>
          <w:sz w:val="24"/>
          <w:szCs w:val="24"/>
        </w:rPr>
        <w:t xml:space="preserve">to improve </w:t>
      </w:r>
      <w:r w:rsidR="008B1B54">
        <w:rPr>
          <w:rFonts w:cstheme="minorHAnsi"/>
          <w:sz w:val="24"/>
          <w:szCs w:val="24"/>
        </w:rPr>
        <w:t>client</w:t>
      </w:r>
      <w:r w:rsidR="002F784A" w:rsidRPr="00BF02A2">
        <w:rPr>
          <w:rFonts w:cstheme="minorHAnsi"/>
          <w:sz w:val="24"/>
          <w:szCs w:val="24"/>
        </w:rPr>
        <w:t xml:space="preserve"> outcome and experience, </w:t>
      </w:r>
      <w:r w:rsidR="0009204F" w:rsidRPr="00BF02A2">
        <w:rPr>
          <w:rFonts w:cstheme="minorHAnsi"/>
          <w:sz w:val="24"/>
          <w:szCs w:val="24"/>
        </w:rPr>
        <w:t xml:space="preserve">to encourage integrated care and </w:t>
      </w:r>
      <w:r w:rsidR="008B0AF7" w:rsidRPr="00BF02A2">
        <w:rPr>
          <w:rFonts w:cstheme="minorHAnsi"/>
          <w:sz w:val="24"/>
          <w:szCs w:val="24"/>
        </w:rPr>
        <w:t>provider</w:t>
      </w:r>
      <w:r w:rsidR="0009204F" w:rsidRPr="00BF02A2">
        <w:rPr>
          <w:rFonts w:cstheme="minorHAnsi"/>
          <w:sz w:val="24"/>
          <w:szCs w:val="24"/>
        </w:rPr>
        <w:t xml:space="preserve"> collaboration</w:t>
      </w:r>
      <w:r w:rsidR="00C83EA2" w:rsidRPr="00BF02A2">
        <w:rPr>
          <w:rFonts w:cstheme="minorHAnsi"/>
          <w:sz w:val="24"/>
          <w:szCs w:val="24"/>
        </w:rPr>
        <w:t>,</w:t>
      </w:r>
      <w:r w:rsidR="0009204F" w:rsidRPr="00BF02A2">
        <w:rPr>
          <w:rFonts w:cstheme="minorHAnsi"/>
          <w:sz w:val="24"/>
          <w:szCs w:val="24"/>
        </w:rPr>
        <w:t xml:space="preserve"> and </w:t>
      </w:r>
      <w:r w:rsidR="008B1B54">
        <w:rPr>
          <w:rFonts w:cstheme="minorHAnsi"/>
          <w:sz w:val="24"/>
          <w:szCs w:val="24"/>
        </w:rPr>
        <w:t xml:space="preserve">to </w:t>
      </w:r>
      <w:r w:rsidR="0009204F" w:rsidRPr="00BF02A2">
        <w:rPr>
          <w:rFonts w:cstheme="minorHAnsi"/>
          <w:sz w:val="24"/>
          <w:szCs w:val="24"/>
        </w:rPr>
        <w:t>reinvest</w:t>
      </w:r>
      <w:r w:rsidR="008B1B54">
        <w:rPr>
          <w:rFonts w:cstheme="minorHAnsi"/>
          <w:sz w:val="24"/>
          <w:szCs w:val="24"/>
        </w:rPr>
        <w:t xml:space="preserve"> savings</w:t>
      </w:r>
      <w:r w:rsidR="0009204F" w:rsidRPr="00BF02A2">
        <w:rPr>
          <w:rFonts w:cstheme="minorHAnsi"/>
          <w:sz w:val="24"/>
          <w:szCs w:val="24"/>
        </w:rPr>
        <w:t xml:space="preserve"> into community services</w:t>
      </w:r>
      <w:r w:rsidR="00346FAD" w:rsidRPr="00BF02A2">
        <w:rPr>
          <w:rFonts w:cstheme="minorHAnsi"/>
          <w:sz w:val="24"/>
          <w:szCs w:val="24"/>
        </w:rPr>
        <w:t xml:space="preserve"> (NHS</w:t>
      </w:r>
      <w:r w:rsidR="008C2CF5">
        <w:rPr>
          <w:rFonts w:cstheme="minorHAnsi"/>
          <w:sz w:val="24"/>
          <w:szCs w:val="24"/>
        </w:rPr>
        <w:t xml:space="preserve"> </w:t>
      </w:r>
      <w:r w:rsidR="00346FAD" w:rsidRPr="00BF02A2">
        <w:rPr>
          <w:rFonts w:cstheme="minorHAnsi"/>
          <w:sz w:val="24"/>
          <w:szCs w:val="24"/>
        </w:rPr>
        <w:t>E</w:t>
      </w:r>
      <w:r w:rsidR="008C2CF5">
        <w:rPr>
          <w:rFonts w:cstheme="minorHAnsi"/>
          <w:sz w:val="24"/>
          <w:szCs w:val="24"/>
        </w:rPr>
        <w:t>ngland, NHSE</w:t>
      </w:r>
      <w:r w:rsidR="00346FAD" w:rsidRPr="00BF02A2">
        <w:rPr>
          <w:rFonts w:cstheme="minorHAnsi"/>
          <w:sz w:val="24"/>
          <w:szCs w:val="24"/>
        </w:rPr>
        <w:t xml:space="preserve">, </w:t>
      </w:r>
      <w:r w:rsidR="00516171" w:rsidRPr="00BF02A2">
        <w:rPr>
          <w:rFonts w:cstheme="minorHAnsi"/>
          <w:sz w:val="24"/>
          <w:szCs w:val="24"/>
        </w:rPr>
        <w:t>2021</w:t>
      </w:r>
      <w:r w:rsidR="00653907" w:rsidRPr="00BF02A2">
        <w:rPr>
          <w:rFonts w:cstheme="minorHAnsi"/>
          <w:sz w:val="24"/>
          <w:szCs w:val="24"/>
        </w:rPr>
        <w:t>a</w:t>
      </w:r>
      <w:r w:rsidR="00346FAD" w:rsidRPr="00BF02A2">
        <w:rPr>
          <w:rFonts w:cstheme="minorHAnsi"/>
          <w:sz w:val="24"/>
          <w:szCs w:val="24"/>
        </w:rPr>
        <w:t>)</w:t>
      </w:r>
      <w:r w:rsidR="0009204F" w:rsidRPr="00BF02A2">
        <w:rPr>
          <w:rFonts w:cstheme="minorHAnsi"/>
          <w:sz w:val="24"/>
          <w:szCs w:val="24"/>
        </w:rPr>
        <w:t xml:space="preserve">. </w:t>
      </w:r>
      <w:r w:rsidR="00457868" w:rsidRPr="00BF02A2">
        <w:rPr>
          <w:rFonts w:cstheme="minorHAnsi"/>
          <w:sz w:val="24"/>
          <w:szCs w:val="24"/>
        </w:rPr>
        <w:t xml:space="preserve">There were two successful bits for </w:t>
      </w:r>
      <w:r w:rsidR="00D7553B" w:rsidRPr="00BF02A2">
        <w:rPr>
          <w:rFonts w:cstheme="minorHAnsi"/>
          <w:sz w:val="24"/>
          <w:szCs w:val="24"/>
        </w:rPr>
        <w:t xml:space="preserve">the initial </w:t>
      </w:r>
      <w:r w:rsidR="005A3990" w:rsidRPr="00BF02A2">
        <w:rPr>
          <w:rFonts w:cstheme="minorHAnsi"/>
          <w:sz w:val="24"/>
          <w:szCs w:val="24"/>
        </w:rPr>
        <w:t xml:space="preserve">NHSE </w:t>
      </w:r>
      <w:r w:rsidR="00457868" w:rsidRPr="00BF02A2">
        <w:rPr>
          <w:rFonts w:cstheme="minorHAnsi"/>
          <w:sz w:val="24"/>
          <w:szCs w:val="24"/>
        </w:rPr>
        <w:t xml:space="preserve">pilot </w:t>
      </w:r>
      <w:r w:rsidR="00D7553B" w:rsidRPr="00BF02A2">
        <w:rPr>
          <w:rFonts w:cstheme="minorHAnsi"/>
          <w:sz w:val="24"/>
          <w:szCs w:val="24"/>
        </w:rPr>
        <w:t>of the N</w:t>
      </w:r>
      <w:r w:rsidR="00575246">
        <w:rPr>
          <w:rFonts w:cstheme="minorHAnsi"/>
          <w:sz w:val="24"/>
          <w:szCs w:val="24"/>
        </w:rPr>
        <w:t>CM</w:t>
      </w:r>
      <w:r w:rsidR="00D7553B" w:rsidRPr="00BF02A2">
        <w:rPr>
          <w:rFonts w:cstheme="minorHAnsi"/>
          <w:sz w:val="24"/>
          <w:szCs w:val="24"/>
        </w:rPr>
        <w:t>s</w:t>
      </w:r>
      <w:r w:rsidR="00E0109B" w:rsidRPr="00BF02A2">
        <w:rPr>
          <w:rFonts w:cstheme="minorHAnsi"/>
          <w:sz w:val="24"/>
          <w:szCs w:val="24"/>
        </w:rPr>
        <w:t xml:space="preserve"> fo</w:t>
      </w:r>
      <w:r w:rsidR="009432D8" w:rsidRPr="00BF02A2">
        <w:rPr>
          <w:rFonts w:cstheme="minorHAnsi"/>
          <w:sz w:val="24"/>
          <w:szCs w:val="24"/>
        </w:rPr>
        <w:t>r</w:t>
      </w:r>
      <w:r w:rsidR="00E0109B" w:rsidRPr="00BF02A2">
        <w:rPr>
          <w:rFonts w:cstheme="minorHAnsi"/>
          <w:sz w:val="24"/>
          <w:szCs w:val="24"/>
        </w:rPr>
        <w:t xml:space="preserve"> adult</w:t>
      </w:r>
      <w:r w:rsidR="00465CF0" w:rsidRPr="00BF02A2">
        <w:rPr>
          <w:rFonts w:cstheme="minorHAnsi"/>
          <w:sz w:val="24"/>
          <w:szCs w:val="24"/>
        </w:rPr>
        <w:t xml:space="preserve"> </w:t>
      </w:r>
      <w:r w:rsidR="00E0109B" w:rsidRPr="00BF02A2">
        <w:rPr>
          <w:rFonts w:cstheme="minorHAnsi"/>
          <w:sz w:val="24"/>
          <w:szCs w:val="24"/>
        </w:rPr>
        <w:t>eating disorder</w:t>
      </w:r>
      <w:r w:rsidR="00465CF0" w:rsidRPr="00BF02A2">
        <w:rPr>
          <w:rFonts w:cstheme="minorHAnsi"/>
          <w:sz w:val="24"/>
          <w:szCs w:val="24"/>
        </w:rPr>
        <w:t xml:space="preserve"> </w:t>
      </w:r>
      <w:r w:rsidR="000505DF" w:rsidRPr="00BF02A2">
        <w:rPr>
          <w:rFonts w:cstheme="minorHAnsi"/>
          <w:sz w:val="24"/>
          <w:szCs w:val="24"/>
        </w:rPr>
        <w:t xml:space="preserve">(ED) </w:t>
      </w:r>
      <w:r w:rsidR="00465CF0" w:rsidRPr="00BF02A2">
        <w:rPr>
          <w:rFonts w:cstheme="minorHAnsi"/>
          <w:sz w:val="24"/>
          <w:szCs w:val="24"/>
        </w:rPr>
        <w:lastRenderedPageBreak/>
        <w:t>service</w:t>
      </w:r>
      <w:r w:rsidR="00E0109B" w:rsidRPr="00BF02A2">
        <w:rPr>
          <w:rFonts w:cstheme="minorHAnsi"/>
          <w:sz w:val="24"/>
          <w:szCs w:val="24"/>
        </w:rPr>
        <w:t>s</w:t>
      </w:r>
      <w:r w:rsidR="00B3211D" w:rsidRPr="00BF02A2">
        <w:rPr>
          <w:rFonts w:cstheme="minorHAnsi"/>
          <w:sz w:val="24"/>
          <w:szCs w:val="24"/>
        </w:rPr>
        <w:t xml:space="preserve">, namely </w:t>
      </w:r>
      <w:r w:rsidR="00D7553B" w:rsidRPr="00BF02A2">
        <w:rPr>
          <w:rFonts w:cstheme="minorHAnsi"/>
          <w:sz w:val="24"/>
          <w:szCs w:val="24"/>
        </w:rPr>
        <w:t xml:space="preserve">CONNECT in West Yorkshire </w:t>
      </w:r>
      <w:r w:rsidR="00933292" w:rsidRPr="00BF02A2">
        <w:rPr>
          <w:rFonts w:cstheme="minorHAnsi"/>
          <w:sz w:val="24"/>
          <w:szCs w:val="24"/>
        </w:rPr>
        <w:t xml:space="preserve">lead by Leeds and York Partnership </w:t>
      </w:r>
      <w:r w:rsidR="003372FF" w:rsidRPr="00BF02A2">
        <w:rPr>
          <w:rFonts w:cstheme="minorHAnsi"/>
          <w:sz w:val="24"/>
          <w:szCs w:val="24"/>
        </w:rPr>
        <w:t xml:space="preserve">NHS </w:t>
      </w:r>
      <w:r w:rsidR="00621700">
        <w:rPr>
          <w:rFonts w:cstheme="minorHAnsi"/>
          <w:sz w:val="24"/>
          <w:szCs w:val="24"/>
        </w:rPr>
        <w:t>Foundation Trust (</w:t>
      </w:r>
      <w:r w:rsidR="00933292" w:rsidRPr="00BF02A2">
        <w:rPr>
          <w:rFonts w:cstheme="minorHAnsi"/>
          <w:sz w:val="24"/>
          <w:szCs w:val="24"/>
        </w:rPr>
        <w:t>FT</w:t>
      </w:r>
      <w:r w:rsidR="00621700">
        <w:rPr>
          <w:rFonts w:cstheme="minorHAnsi"/>
          <w:sz w:val="24"/>
          <w:szCs w:val="24"/>
        </w:rPr>
        <w:t>)</w:t>
      </w:r>
      <w:r w:rsidR="00516171" w:rsidRPr="00BF02A2">
        <w:rPr>
          <w:rFonts w:cstheme="minorHAnsi"/>
          <w:sz w:val="24"/>
          <w:szCs w:val="24"/>
        </w:rPr>
        <w:t xml:space="preserve"> (</w:t>
      </w:r>
      <w:r w:rsidR="001527D0" w:rsidRPr="00BF02A2">
        <w:rPr>
          <w:rFonts w:cstheme="minorHAnsi"/>
          <w:sz w:val="24"/>
          <w:szCs w:val="24"/>
        </w:rPr>
        <w:t>NHSE</w:t>
      </w:r>
      <w:r w:rsidR="00117FD8" w:rsidRPr="00BF02A2">
        <w:rPr>
          <w:rFonts w:cstheme="minorHAnsi"/>
          <w:sz w:val="24"/>
          <w:szCs w:val="24"/>
        </w:rPr>
        <w:t>, 2021</w:t>
      </w:r>
      <w:r w:rsidR="006B2859">
        <w:rPr>
          <w:rFonts w:cstheme="minorHAnsi"/>
          <w:sz w:val="24"/>
          <w:szCs w:val="24"/>
        </w:rPr>
        <w:t>b</w:t>
      </w:r>
      <w:r w:rsidR="00933292" w:rsidRPr="00BF02A2">
        <w:rPr>
          <w:rFonts w:cstheme="minorHAnsi"/>
          <w:sz w:val="24"/>
          <w:szCs w:val="24"/>
        </w:rPr>
        <w:t xml:space="preserve">) </w:t>
      </w:r>
      <w:r w:rsidR="00D7553B" w:rsidRPr="00BF02A2">
        <w:rPr>
          <w:rFonts w:cstheme="minorHAnsi"/>
          <w:sz w:val="24"/>
          <w:szCs w:val="24"/>
        </w:rPr>
        <w:t>and the Health</w:t>
      </w:r>
      <w:r w:rsidR="00F77F16" w:rsidRPr="00BF02A2">
        <w:rPr>
          <w:rFonts w:cstheme="minorHAnsi"/>
          <w:sz w:val="24"/>
          <w:szCs w:val="24"/>
        </w:rPr>
        <w:t>y</w:t>
      </w:r>
      <w:r w:rsidR="00D7553B" w:rsidRPr="00BF02A2">
        <w:rPr>
          <w:rFonts w:cstheme="minorHAnsi"/>
          <w:sz w:val="24"/>
          <w:szCs w:val="24"/>
        </w:rPr>
        <w:t xml:space="preserve"> Outcomes for People with Eating Disorders (HOPE</w:t>
      </w:r>
      <w:r w:rsidR="00F77F16" w:rsidRPr="00BF02A2">
        <w:rPr>
          <w:rFonts w:cstheme="minorHAnsi"/>
          <w:sz w:val="24"/>
          <w:szCs w:val="24"/>
        </w:rPr>
        <w:t>)</w:t>
      </w:r>
      <w:r w:rsidR="00D7553B" w:rsidRPr="00BF02A2">
        <w:rPr>
          <w:rFonts w:cstheme="minorHAnsi"/>
          <w:sz w:val="24"/>
          <w:szCs w:val="24"/>
        </w:rPr>
        <w:t xml:space="preserve"> </w:t>
      </w:r>
      <w:r w:rsidR="00B53002">
        <w:rPr>
          <w:rFonts w:cstheme="minorHAnsi"/>
          <w:sz w:val="24"/>
          <w:szCs w:val="24"/>
        </w:rPr>
        <w:t>NCM</w:t>
      </w:r>
      <w:r w:rsidR="004A176B">
        <w:rPr>
          <w:rFonts w:cstheme="minorHAnsi"/>
          <w:sz w:val="24"/>
          <w:szCs w:val="24"/>
        </w:rPr>
        <w:t xml:space="preserve"> </w:t>
      </w:r>
      <w:r w:rsidR="00D7553B" w:rsidRPr="00BF02A2">
        <w:rPr>
          <w:rFonts w:cstheme="minorHAnsi"/>
          <w:sz w:val="24"/>
          <w:szCs w:val="24"/>
        </w:rPr>
        <w:t>in the South</w:t>
      </w:r>
      <w:r w:rsidR="00457868" w:rsidRPr="00BF02A2">
        <w:rPr>
          <w:rFonts w:cstheme="minorHAnsi"/>
          <w:sz w:val="24"/>
          <w:szCs w:val="24"/>
        </w:rPr>
        <w:t xml:space="preserve"> </w:t>
      </w:r>
      <w:r w:rsidR="00D7553B" w:rsidRPr="00BF02A2">
        <w:rPr>
          <w:rFonts w:cstheme="minorHAnsi"/>
          <w:sz w:val="24"/>
          <w:szCs w:val="24"/>
        </w:rPr>
        <w:t>of England</w:t>
      </w:r>
      <w:r w:rsidR="00933292" w:rsidRPr="00BF02A2">
        <w:rPr>
          <w:rFonts w:cstheme="minorHAnsi"/>
          <w:sz w:val="24"/>
          <w:szCs w:val="24"/>
        </w:rPr>
        <w:t xml:space="preserve"> </w:t>
      </w:r>
      <w:r w:rsidR="00121D93">
        <w:rPr>
          <w:rFonts w:cstheme="minorHAnsi"/>
          <w:sz w:val="24"/>
          <w:szCs w:val="24"/>
        </w:rPr>
        <w:t xml:space="preserve">with </w:t>
      </w:r>
      <w:r w:rsidR="00933292" w:rsidRPr="00BF02A2">
        <w:rPr>
          <w:rFonts w:cstheme="minorHAnsi"/>
          <w:sz w:val="24"/>
          <w:szCs w:val="24"/>
        </w:rPr>
        <w:t>Oxford Health</w:t>
      </w:r>
      <w:r w:rsidR="003372FF" w:rsidRPr="00BF02A2">
        <w:rPr>
          <w:rFonts w:cstheme="minorHAnsi"/>
          <w:sz w:val="24"/>
          <w:szCs w:val="24"/>
        </w:rPr>
        <w:t xml:space="preserve"> NHS</w:t>
      </w:r>
      <w:r w:rsidR="00933292" w:rsidRPr="00BF02A2">
        <w:rPr>
          <w:rFonts w:cstheme="minorHAnsi"/>
          <w:sz w:val="24"/>
          <w:szCs w:val="24"/>
        </w:rPr>
        <w:t xml:space="preserve"> FT</w:t>
      </w:r>
      <w:r w:rsidR="00D07A39">
        <w:rPr>
          <w:rFonts w:cstheme="minorHAnsi"/>
          <w:sz w:val="24"/>
          <w:szCs w:val="24"/>
        </w:rPr>
        <w:t xml:space="preserve"> as lead provider</w:t>
      </w:r>
      <w:r w:rsidR="00D7553B" w:rsidRPr="00BF02A2">
        <w:rPr>
          <w:rFonts w:cstheme="minorHAnsi"/>
          <w:sz w:val="24"/>
          <w:szCs w:val="24"/>
        </w:rPr>
        <w:t xml:space="preserve">. </w:t>
      </w:r>
      <w:r w:rsidR="00C670B3" w:rsidRPr="00BF02A2">
        <w:rPr>
          <w:rFonts w:cstheme="minorHAnsi"/>
          <w:sz w:val="24"/>
          <w:szCs w:val="24"/>
        </w:rPr>
        <w:t xml:space="preserve">The </w:t>
      </w:r>
      <w:r w:rsidR="00AA5D96" w:rsidRPr="00BF02A2">
        <w:rPr>
          <w:rFonts w:cstheme="minorHAnsi"/>
          <w:sz w:val="24"/>
          <w:szCs w:val="24"/>
        </w:rPr>
        <w:t xml:space="preserve">pilots </w:t>
      </w:r>
      <w:r w:rsidR="00C670B3" w:rsidRPr="00BF02A2">
        <w:rPr>
          <w:rFonts w:cstheme="minorHAnsi"/>
          <w:sz w:val="24"/>
          <w:szCs w:val="24"/>
        </w:rPr>
        <w:t>were the forerunners to the introduction of Provider Collaboratives</w:t>
      </w:r>
      <w:r w:rsidR="004A176B">
        <w:rPr>
          <w:rFonts w:cstheme="minorHAnsi"/>
          <w:sz w:val="24"/>
          <w:szCs w:val="24"/>
        </w:rPr>
        <w:t xml:space="preserve"> (</w:t>
      </w:r>
      <w:r w:rsidR="00095266">
        <w:rPr>
          <w:rFonts w:cstheme="minorHAnsi"/>
          <w:sz w:val="24"/>
          <w:szCs w:val="24"/>
        </w:rPr>
        <w:t xml:space="preserve">PCs) </w:t>
      </w:r>
      <w:r w:rsidR="00095266" w:rsidRPr="00BF02A2">
        <w:rPr>
          <w:rFonts w:cstheme="minorHAnsi"/>
          <w:sz w:val="24"/>
          <w:szCs w:val="24"/>
        </w:rPr>
        <w:t>in</w:t>
      </w:r>
      <w:r w:rsidR="005C29F4" w:rsidRPr="00BF02A2">
        <w:rPr>
          <w:rFonts w:cstheme="minorHAnsi"/>
          <w:sz w:val="24"/>
          <w:szCs w:val="24"/>
        </w:rPr>
        <w:t xml:space="preserve"> England. For a more detailed introduction to </w:t>
      </w:r>
      <w:r w:rsidR="00095266">
        <w:rPr>
          <w:rFonts w:cstheme="minorHAnsi"/>
          <w:sz w:val="24"/>
          <w:szCs w:val="24"/>
        </w:rPr>
        <w:t>PC</w:t>
      </w:r>
      <w:r w:rsidR="005C29F4" w:rsidRPr="00BF02A2">
        <w:rPr>
          <w:rFonts w:cstheme="minorHAnsi"/>
          <w:sz w:val="24"/>
          <w:szCs w:val="24"/>
        </w:rPr>
        <w:t xml:space="preserve">s see Sodeke-Gregson’s (2021) article in this special edition. </w:t>
      </w:r>
    </w:p>
    <w:p w14:paraId="733EF274" w14:textId="531B2CF1" w:rsidR="00385453" w:rsidRPr="00BF02A2" w:rsidRDefault="000856EE" w:rsidP="00E764AA">
      <w:pPr>
        <w:spacing w:line="480" w:lineRule="auto"/>
        <w:rPr>
          <w:rFonts w:cstheme="minorHAnsi"/>
          <w:sz w:val="24"/>
          <w:szCs w:val="24"/>
        </w:rPr>
      </w:pPr>
      <w:r w:rsidRPr="00BF02A2">
        <w:rPr>
          <w:rFonts w:cstheme="minorHAnsi"/>
          <w:sz w:val="24"/>
          <w:szCs w:val="24"/>
        </w:rPr>
        <w:t xml:space="preserve">This article describes the results and learning from the </w:t>
      </w:r>
      <w:r w:rsidR="00143685">
        <w:rPr>
          <w:rFonts w:cstheme="minorHAnsi"/>
          <w:sz w:val="24"/>
          <w:szCs w:val="24"/>
        </w:rPr>
        <w:t xml:space="preserve">initial </w:t>
      </w:r>
      <w:r w:rsidR="00086FFB" w:rsidRPr="00BF02A2">
        <w:rPr>
          <w:rFonts w:cstheme="minorHAnsi"/>
          <w:sz w:val="24"/>
          <w:szCs w:val="24"/>
        </w:rPr>
        <w:t xml:space="preserve">HOPE </w:t>
      </w:r>
      <w:r w:rsidR="00C37C0F" w:rsidRPr="00BF02A2">
        <w:rPr>
          <w:rFonts w:cstheme="minorHAnsi"/>
          <w:sz w:val="24"/>
          <w:szCs w:val="24"/>
        </w:rPr>
        <w:t xml:space="preserve">NCM </w:t>
      </w:r>
      <w:r w:rsidR="00086FFB" w:rsidRPr="00BF02A2">
        <w:rPr>
          <w:rFonts w:cstheme="minorHAnsi"/>
          <w:sz w:val="24"/>
          <w:szCs w:val="24"/>
        </w:rPr>
        <w:t xml:space="preserve">pilot. </w:t>
      </w:r>
    </w:p>
    <w:p w14:paraId="17BFE024" w14:textId="77777777" w:rsidR="00B3211D" w:rsidRPr="00BF02A2" w:rsidRDefault="00B3211D" w:rsidP="00E764AA">
      <w:pPr>
        <w:spacing w:line="480" w:lineRule="auto"/>
        <w:rPr>
          <w:rFonts w:cstheme="minorHAnsi"/>
          <w:sz w:val="24"/>
          <w:szCs w:val="24"/>
          <w:lang w:val="en-US"/>
        </w:rPr>
      </w:pPr>
    </w:p>
    <w:p w14:paraId="1EF45892" w14:textId="60E85B08" w:rsidR="00D7553B" w:rsidRPr="00BF02A2" w:rsidRDefault="00D7553B" w:rsidP="00E764AA">
      <w:pPr>
        <w:spacing w:line="480" w:lineRule="auto"/>
        <w:rPr>
          <w:rFonts w:cstheme="minorHAnsi"/>
          <w:sz w:val="24"/>
          <w:szCs w:val="24"/>
          <w:lang w:val="en-US"/>
        </w:rPr>
      </w:pPr>
      <w:r w:rsidRPr="00BF02A2">
        <w:rPr>
          <w:rFonts w:cstheme="minorHAnsi"/>
          <w:sz w:val="24"/>
          <w:szCs w:val="24"/>
          <w:lang w:val="en-US"/>
        </w:rPr>
        <w:t xml:space="preserve">The HOPE NCM </w:t>
      </w:r>
      <w:r w:rsidR="0052371C" w:rsidRPr="00BF02A2">
        <w:rPr>
          <w:rFonts w:cstheme="minorHAnsi"/>
          <w:sz w:val="24"/>
          <w:szCs w:val="24"/>
          <w:lang w:val="en-US"/>
        </w:rPr>
        <w:t xml:space="preserve">was established in </w:t>
      </w:r>
      <w:r w:rsidR="008854E1">
        <w:rPr>
          <w:rFonts w:cstheme="minorHAnsi"/>
          <w:sz w:val="24"/>
          <w:szCs w:val="24"/>
          <w:lang w:val="en-US"/>
        </w:rPr>
        <w:t>‘</w:t>
      </w:r>
      <w:r w:rsidR="0052371C" w:rsidRPr="00BF02A2">
        <w:rPr>
          <w:rFonts w:cstheme="minorHAnsi"/>
          <w:sz w:val="24"/>
          <w:szCs w:val="24"/>
          <w:lang w:val="en-US"/>
        </w:rPr>
        <w:t>shadow form</w:t>
      </w:r>
      <w:r w:rsidR="008854E1">
        <w:rPr>
          <w:rFonts w:cstheme="minorHAnsi"/>
          <w:sz w:val="24"/>
          <w:szCs w:val="24"/>
          <w:lang w:val="en-US"/>
        </w:rPr>
        <w:t>’</w:t>
      </w:r>
      <w:r w:rsidR="00FC5D4A">
        <w:rPr>
          <w:rFonts w:cstheme="minorHAnsi"/>
          <w:sz w:val="24"/>
          <w:szCs w:val="24"/>
          <w:lang w:val="en-US"/>
        </w:rPr>
        <w:t xml:space="preserve"> </w:t>
      </w:r>
      <w:r w:rsidR="009B1ED0">
        <w:rPr>
          <w:rFonts w:cstheme="minorHAnsi"/>
          <w:sz w:val="24"/>
          <w:szCs w:val="24"/>
          <w:lang w:val="en-US"/>
        </w:rPr>
        <w:t>(i.e</w:t>
      </w:r>
      <w:r w:rsidR="00FC5D4A">
        <w:rPr>
          <w:rFonts w:cstheme="minorHAnsi"/>
          <w:sz w:val="24"/>
          <w:szCs w:val="24"/>
          <w:lang w:val="en-US"/>
        </w:rPr>
        <w:t>.</w:t>
      </w:r>
      <w:r w:rsidR="009B1ED0">
        <w:rPr>
          <w:rFonts w:cstheme="minorHAnsi"/>
          <w:sz w:val="24"/>
          <w:szCs w:val="24"/>
          <w:lang w:val="en-US"/>
        </w:rPr>
        <w:t xml:space="preserve"> where the lea</w:t>
      </w:r>
      <w:r w:rsidR="006D49E3">
        <w:rPr>
          <w:rFonts w:cstheme="minorHAnsi"/>
          <w:sz w:val="24"/>
          <w:szCs w:val="24"/>
          <w:lang w:val="en-US"/>
        </w:rPr>
        <w:t xml:space="preserve">d provider </w:t>
      </w:r>
      <w:r w:rsidR="00141176">
        <w:rPr>
          <w:rFonts w:cstheme="minorHAnsi"/>
          <w:sz w:val="24"/>
          <w:szCs w:val="24"/>
          <w:lang w:val="en-US"/>
        </w:rPr>
        <w:t>accepted</w:t>
      </w:r>
      <w:r w:rsidR="006D49E3">
        <w:rPr>
          <w:rFonts w:cstheme="minorHAnsi"/>
          <w:sz w:val="24"/>
          <w:szCs w:val="24"/>
          <w:lang w:val="en-US"/>
        </w:rPr>
        <w:t xml:space="preserve"> </w:t>
      </w:r>
      <w:r w:rsidR="009E5B97">
        <w:rPr>
          <w:rFonts w:cstheme="minorHAnsi"/>
          <w:sz w:val="24"/>
          <w:szCs w:val="24"/>
          <w:lang w:val="en-US"/>
        </w:rPr>
        <w:t xml:space="preserve">delegated </w:t>
      </w:r>
      <w:r w:rsidR="00A33B15">
        <w:rPr>
          <w:rFonts w:cstheme="minorHAnsi"/>
          <w:sz w:val="24"/>
          <w:szCs w:val="24"/>
          <w:lang w:val="en-US"/>
        </w:rPr>
        <w:t xml:space="preserve">commissioning </w:t>
      </w:r>
      <w:r w:rsidR="009E5B97">
        <w:rPr>
          <w:rFonts w:cstheme="minorHAnsi"/>
          <w:sz w:val="24"/>
          <w:szCs w:val="24"/>
          <w:lang w:val="en-US"/>
        </w:rPr>
        <w:t>responsibilities</w:t>
      </w:r>
      <w:r w:rsidR="00A33B15">
        <w:rPr>
          <w:rFonts w:cstheme="minorHAnsi"/>
          <w:sz w:val="24"/>
          <w:szCs w:val="24"/>
          <w:lang w:val="en-US"/>
        </w:rPr>
        <w:t xml:space="preserve"> from NHS</w:t>
      </w:r>
      <w:r w:rsidR="00D07A39">
        <w:rPr>
          <w:rFonts w:cstheme="minorHAnsi"/>
          <w:sz w:val="24"/>
          <w:szCs w:val="24"/>
          <w:lang w:val="en-US"/>
        </w:rPr>
        <w:t>E</w:t>
      </w:r>
      <w:r w:rsidR="009E5B97">
        <w:rPr>
          <w:rFonts w:cstheme="minorHAnsi"/>
          <w:sz w:val="24"/>
          <w:szCs w:val="24"/>
          <w:lang w:val="en-US"/>
        </w:rPr>
        <w:t>, but not financial liability)</w:t>
      </w:r>
      <w:r w:rsidR="0052371C" w:rsidRPr="00BF02A2">
        <w:rPr>
          <w:rFonts w:cstheme="minorHAnsi"/>
          <w:sz w:val="24"/>
          <w:szCs w:val="24"/>
          <w:lang w:val="en-US"/>
        </w:rPr>
        <w:t xml:space="preserve"> </w:t>
      </w:r>
      <w:r w:rsidR="007E4AD6" w:rsidRPr="00BF02A2">
        <w:rPr>
          <w:rFonts w:cstheme="minorHAnsi"/>
          <w:sz w:val="24"/>
          <w:szCs w:val="24"/>
          <w:lang w:val="en-US"/>
        </w:rPr>
        <w:t>in July 2018</w:t>
      </w:r>
      <w:r w:rsidR="00016CFF" w:rsidRPr="00BF02A2">
        <w:rPr>
          <w:rFonts w:cstheme="minorHAnsi"/>
          <w:sz w:val="24"/>
          <w:szCs w:val="24"/>
          <w:lang w:val="en-US"/>
        </w:rPr>
        <w:t xml:space="preserve"> and </w:t>
      </w:r>
      <w:r w:rsidR="00F96370" w:rsidRPr="00BF02A2">
        <w:rPr>
          <w:rFonts w:cstheme="minorHAnsi"/>
          <w:sz w:val="24"/>
          <w:szCs w:val="24"/>
          <w:lang w:val="en-US"/>
        </w:rPr>
        <w:t xml:space="preserve">brought </w:t>
      </w:r>
      <w:r w:rsidR="0068371A" w:rsidRPr="00BF02A2">
        <w:rPr>
          <w:rFonts w:cstheme="minorHAnsi"/>
          <w:sz w:val="24"/>
          <w:szCs w:val="24"/>
          <w:lang w:val="en-US"/>
        </w:rPr>
        <w:t xml:space="preserve">together several providers of inpatient and community services for clients </w:t>
      </w:r>
      <w:r w:rsidR="00E240C1" w:rsidRPr="00BF02A2">
        <w:rPr>
          <w:rFonts w:cstheme="minorHAnsi"/>
          <w:sz w:val="24"/>
          <w:szCs w:val="24"/>
          <w:lang w:val="en-US"/>
        </w:rPr>
        <w:t xml:space="preserve">with </w:t>
      </w:r>
      <w:r w:rsidR="00345E81">
        <w:rPr>
          <w:rFonts w:cstheme="minorHAnsi"/>
          <w:sz w:val="24"/>
          <w:szCs w:val="24"/>
          <w:lang w:val="en-US"/>
        </w:rPr>
        <w:t>ED</w:t>
      </w:r>
      <w:r w:rsidR="00E240C1" w:rsidRPr="00BF02A2">
        <w:rPr>
          <w:rFonts w:cstheme="minorHAnsi"/>
          <w:sz w:val="24"/>
          <w:szCs w:val="24"/>
          <w:lang w:val="en-US"/>
        </w:rPr>
        <w:t xml:space="preserve">. </w:t>
      </w:r>
      <w:r w:rsidR="00770E30" w:rsidRPr="00BF02A2">
        <w:rPr>
          <w:rFonts w:cstheme="minorHAnsi"/>
          <w:sz w:val="24"/>
          <w:szCs w:val="24"/>
          <w:lang w:val="en-US"/>
        </w:rPr>
        <w:t xml:space="preserve">The </w:t>
      </w:r>
      <w:r w:rsidR="00474D54">
        <w:rPr>
          <w:rFonts w:cstheme="minorHAnsi"/>
          <w:sz w:val="24"/>
          <w:szCs w:val="24"/>
          <w:lang w:val="en-US"/>
        </w:rPr>
        <w:t xml:space="preserve">large geographical </w:t>
      </w:r>
      <w:r w:rsidR="00770E30" w:rsidRPr="00BF02A2">
        <w:rPr>
          <w:rFonts w:cstheme="minorHAnsi"/>
          <w:sz w:val="24"/>
          <w:szCs w:val="24"/>
          <w:lang w:val="en-US"/>
        </w:rPr>
        <w:t xml:space="preserve">network </w:t>
      </w:r>
      <w:r w:rsidR="00C44E09" w:rsidRPr="00BF02A2">
        <w:rPr>
          <w:rFonts w:cstheme="minorHAnsi"/>
          <w:sz w:val="24"/>
          <w:szCs w:val="24"/>
          <w:lang w:val="en-US"/>
        </w:rPr>
        <w:t xml:space="preserve">initially </w:t>
      </w:r>
      <w:r w:rsidRPr="00BF02A2">
        <w:rPr>
          <w:rFonts w:cstheme="minorHAnsi"/>
          <w:sz w:val="24"/>
          <w:szCs w:val="24"/>
          <w:lang w:val="en-US"/>
        </w:rPr>
        <w:t xml:space="preserve">covered a population of 5.2 million and was </w:t>
      </w:r>
      <w:r w:rsidR="00D43AEC" w:rsidRPr="00BF02A2">
        <w:rPr>
          <w:rFonts w:cstheme="minorHAnsi"/>
          <w:sz w:val="24"/>
          <w:szCs w:val="24"/>
          <w:lang w:val="en-US"/>
        </w:rPr>
        <w:t xml:space="preserve">a </w:t>
      </w:r>
      <w:r w:rsidRPr="00BF02A2">
        <w:rPr>
          <w:rFonts w:cstheme="minorHAnsi"/>
          <w:sz w:val="24"/>
          <w:szCs w:val="24"/>
          <w:lang w:val="en-US"/>
        </w:rPr>
        <w:t xml:space="preserve">collaboration between </w:t>
      </w:r>
      <w:r w:rsidR="007A1F38" w:rsidRPr="00BF02A2">
        <w:rPr>
          <w:rFonts w:cstheme="minorHAnsi"/>
          <w:sz w:val="24"/>
          <w:szCs w:val="24"/>
          <w:lang w:val="en-US"/>
        </w:rPr>
        <w:t>6 NHS Trusts (2gether</w:t>
      </w:r>
      <w:r w:rsidR="00F77F16" w:rsidRPr="00BF02A2">
        <w:rPr>
          <w:rFonts w:cstheme="minorHAnsi"/>
          <w:sz w:val="24"/>
          <w:szCs w:val="24"/>
          <w:lang w:val="en-US"/>
        </w:rPr>
        <w:t xml:space="preserve"> </w:t>
      </w:r>
      <w:r w:rsidR="00D43AEC" w:rsidRPr="00BF02A2">
        <w:rPr>
          <w:rFonts w:cstheme="minorHAnsi"/>
          <w:sz w:val="24"/>
          <w:szCs w:val="24"/>
          <w:lang w:val="en-US"/>
        </w:rPr>
        <w:t xml:space="preserve">NHS </w:t>
      </w:r>
      <w:r w:rsidR="00F77F16" w:rsidRPr="00BF02A2">
        <w:rPr>
          <w:rFonts w:cstheme="minorHAnsi"/>
          <w:sz w:val="24"/>
          <w:szCs w:val="24"/>
          <w:lang w:val="en-US"/>
        </w:rPr>
        <w:t>FT</w:t>
      </w:r>
      <w:r w:rsidR="007A1F38" w:rsidRPr="00BF02A2">
        <w:rPr>
          <w:rFonts w:cstheme="minorHAnsi"/>
          <w:sz w:val="24"/>
          <w:szCs w:val="24"/>
          <w:lang w:val="en-US"/>
        </w:rPr>
        <w:t>, Avon and Wiltshire Mental Health Partnership</w:t>
      </w:r>
      <w:r w:rsidR="00D43AEC" w:rsidRPr="00BF02A2">
        <w:rPr>
          <w:rFonts w:cstheme="minorHAnsi"/>
          <w:sz w:val="24"/>
          <w:szCs w:val="24"/>
          <w:lang w:val="en-US"/>
        </w:rPr>
        <w:t xml:space="preserve"> NHS</w:t>
      </w:r>
      <w:r w:rsidR="00F77F16" w:rsidRPr="00BF02A2">
        <w:rPr>
          <w:rFonts w:cstheme="minorHAnsi"/>
          <w:sz w:val="24"/>
          <w:szCs w:val="24"/>
          <w:lang w:val="en-US"/>
        </w:rPr>
        <w:t xml:space="preserve"> FT</w:t>
      </w:r>
      <w:r w:rsidR="007A1F38" w:rsidRPr="00BF02A2">
        <w:rPr>
          <w:rFonts w:cstheme="minorHAnsi"/>
          <w:sz w:val="24"/>
          <w:szCs w:val="24"/>
          <w:lang w:val="en-US"/>
        </w:rPr>
        <w:t>, Berkshire Healthcare</w:t>
      </w:r>
      <w:r w:rsidR="00F77F16" w:rsidRPr="00BF02A2">
        <w:rPr>
          <w:rFonts w:cstheme="minorHAnsi"/>
          <w:sz w:val="24"/>
          <w:szCs w:val="24"/>
          <w:lang w:val="en-US"/>
        </w:rPr>
        <w:t xml:space="preserve"> </w:t>
      </w:r>
      <w:r w:rsidR="00D43AEC" w:rsidRPr="00BF02A2">
        <w:rPr>
          <w:rFonts w:cstheme="minorHAnsi"/>
          <w:sz w:val="24"/>
          <w:szCs w:val="24"/>
          <w:lang w:val="en-US"/>
        </w:rPr>
        <w:t xml:space="preserve">NHS </w:t>
      </w:r>
      <w:r w:rsidR="00F77F16" w:rsidRPr="00BF02A2">
        <w:rPr>
          <w:rFonts w:cstheme="minorHAnsi"/>
          <w:sz w:val="24"/>
          <w:szCs w:val="24"/>
          <w:lang w:val="en-US"/>
        </w:rPr>
        <w:t>FT</w:t>
      </w:r>
      <w:r w:rsidR="007A1F38" w:rsidRPr="00BF02A2">
        <w:rPr>
          <w:rFonts w:cstheme="minorHAnsi"/>
          <w:sz w:val="24"/>
          <w:szCs w:val="24"/>
          <w:lang w:val="en-US"/>
        </w:rPr>
        <w:t>, Oxford Health</w:t>
      </w:r>
      <w:r w:rsidR="00F77F16" w:rsidRPr="00BF02A2">
        <w:rPr>
          <w:rFonts w:cstheme="minorHAnsi"/>
          <w:sz w:val="24"/>
          <w:szCs w:val="24"/>
          <w:lang w:val="en-US"/>
        </w:rPr>
        <w:t xml:space="preserve"> </w:t>
      </w:r>
      <w:r w:rsidR="00D43AEC" w:rsidRPr="00BF02A2">
        <w:rPr>
          <w:rFonts w:cstheme="minorHAnsi"/>
          <w:sz w:val="24"/>
          <w:szCs w:val="24"/>
          <w:lang w:val="en-US"/>
        </w:rPr>
        <w:t xml:space="preserve">NHS </w:t>
      </w:r>
      <w:r w:rsidR="00F77F16" w:rsidRPr="00BF02A2">
        <w:rPr>
          <w:rFonts w:cstheme="minorHAnsi"/>
          <w:sz w:val="24"/>
          <w:szCs w:val="24"/>
          <w:lang w:val="en-US"/>
        </w:rPr>
        <w:t>FT</w:t>
      </w:r>
      <w:r w:rsidR="007A1F38" w:rsidRPr="00BF02A2">
        <w:rPr>
          <w:rFonts w:cstheme="minorHAnsi"/>
          <w:sz w:val="24"/>
          <w:szCs w:val="24"/>
          <w:lang w:val="en-US"/>
        </w:rPr>
        <w:t>, Southern Health</w:t>
      </w:r>
      <w:r w:rsidR="00F77F16" w:rsidRPr="00BF02A2">
        <w:rPr>
          <w:rFonts w:cstheme="minorHAnsi"/>
          <w:sz w:val="24"/>
          <w:szCs w:val="24"/>
          <w:lang w:val="en-US"/>
        </w:rPr>
        <w:t xml:space="preserve"> </w:t>
      </w:r>
      <w:r w:rsidR="00D43AEC" w:rsidRPr="00BF02A2">
        <w:rPr>
          <w:rFonts w:cstheme="minorHAnsi"/>
          <w:sz w:val="24"/>
          <w:szCs w:val="24"/>
          <w:lang w:val="en-US"/>
        </w:rPr>
        <w:t xml:space="preserve">NHS </w:t>
      </w:r>
      <w:r w:rsidR="00F77F16" w:rsidRPr="00BF02A2">
        <w:rPr>
          <w:rFonts w:cstheme="minorHAnsi"/>
          <w:sz w:val="24"/>
          <w:szCs w:val="24"/>
          <w:lang w:val="en-US"/>
        </w:rPr>
        <w:t>FT</w:t>
      </w:r>
      <w:r w:rsidR="007A1F38" w:rsidRPr="00BF02A2">
        <w:rPr>
          <w:rFonts w:cstheme="minorHAnsi"/>
          <w:sz w:val="24"/>
          <w:szCs w:val="24"/>
          <w:lang w:val="en-US"/>
        </w:rPr>
        <w:t>, Surrey and Borders Partnership</w:t>
      </w:r>
      <w:r w:rsidR="00F77F16" w:rsidRPr="00BF02A2">
        <w:rPr>
          <w:rFonts w:cstheme="minorHAnsi"/>
          <w:sz w:val="24"/>
          <w:szCs w:val="24"/>
          <w:lang w:val="en-US"/>
        </w:rPr>
        <w:t xml:space="preserve"> </w:t>
      </w:r>
      <w:r w:rsidR="00D43AEC" w:rsidRPr="00BF02A2">
        <w:rPr>
          <w:rFonts w:cstheme="minorHAnsi"/>
          <w:sz w:val="24"/>
          <w:szCs w:val="24"/>
          <w:lang w:val="en-US"/>
        </w:rPr>
        <w:t xml:space="preserve">NHS </w:t>
      </w:r>
      <w:r w:rsidR="00F77F16" w:rsidRPr="00BF02A2">
        <w:rPr>
          <w:rFonts w:cstheme="minorHAnsi"/>
          <w:sz w:val="24"/>
          <w:szCs w:val="24"/>
          <w:lang w:val="en-US"/>
        </w:rPr>
        <w:t>FT</w:t>
      </w:r>
      <w:r w:rsidR="007A1F38" w:rsidRPr="00BF02A2">
        <w:rPr>
          <w:rFonts w:cstheme="minorHAnsi"/>
          <w:sz w:val="24"/>
          <w:szCs w:val="24"/>
          <w:lang w:val="en-US"/>
        </w:rPr>
        <w:t xml:space="preserve">) and </w:t>
      </w:r>
      <w:r w:rsidR="006B2859">
        <w:rPr>
          <w:rFonts w:cstheme="minorHAnsi"/>
          <w:sz w:val="24"/>
          <w:szCs w:val="24"/>
          <w:lang w:val="en-US"/>
        </w:rPr>
        <w:t xml:space="preserve">the </w:t>
      </w:r>
      <w:r w:rsidR="00F77F16" w:rsidRPr="00BF02A2">
        <w:rPr>
          <w:rFonts w:cstheme="minorHAnsi"/>
          <w:sz w:val="24"/>
          <w:szCs w:val="24"/>
          <w:lang w:val="en-US"/>
        </w:rPr>
        <w:t>Priory</w:t>
      </w:r>
      <w:r w:rsidR="005924C2" w:rsidRPr="00BF02A2">
        <w:rPr>
          <w:rFonts w:cstheme="minorHAnsi"/>
          <w:sz w:val="24"/>
          <w:szCs w:val="24"/>
          <w:lang w:val="en-US"/>
        </w:rPr>
        <w:t xml:space="preserve"> (offering </w:t>
      </w:r>
      <w:r w:rsidR="008B1B54">
        <w:rPr>
          <w:rFonts w:cstheme="minorHAnsi"/>
          <w:sz w:val="24"/>
          <w:szCs w:val="24"/>
          <w:lang w:val="en-US"/>
        </w:rPr>
        <w:t xml:space="preserve">independent </w:t>
      </w:r>
      <w:r w:rsidR="005924C2" w:rsidRPr="00BF02A2">
        <w:rPr>
          <w:rFonts w:cstheme="minorHAnsi"/>
          <w:sz w:val="24"/>
          <w:szCs w:val="24"/>
          <w:lang w:val="en-US"/>
        </w:rPr>
        <w:t>inpatient beds only)</w:t>
      </w:r>
      <w:r w:rsidR="0044332C" w:rsidRPr="00BF02A2">
        <w:rPr>
          <w:rFonts w:cstheme="minorHAnsi"/>
          <w:sz w:val="24"/>
          <w:szCs w:val="24"/>
          <w:lang w:val="en-US"/>
        </w:rPr>
        <w:t xml:space="preserve">. The </w:t>
      </w:r>
      <w:r w:rsidR="002A40CC">
        <w:rPr>
          <w:rFonts w:cstheme="minorHAnsi"/>
          <w:sz w:val="24"/>
          <w:szCs w:val="24"/>
          <w:lang w:val="en-US"/>
        </w:rPr>
        <w:t>network</w:t>
      </w:r>
      <w:r w:rsidR="0044332C" w:rsidRPr="00BF02A2">
        <w:rPr>
          <w:rFonts w:cstheme="minorHAnsi"/>
          <w:sz w:val="24"/>
          <w:szCs w:val="24"/>
          <w:lang w:val="en-US"/>
        </w:rPr>
        <w:t xml:space="preserve"> comprised 3</w:t>
      </w:r>
      <w:r w:rsidRPr="00BF02A2">
        <w:rPr>
          <w:rFonts w:cstheme="minorHAnsi"/>
          <w:sz w:val="24"/>
          <w:szCs w:val="24"/>
          <w:lang w:val="en-US"/>
        </w:rPr>
        <w:t xml:space="preserve"> NHS </w:t>
      </w:r>
      <w:r w:rsidR="00621700">
        <w:rPr>
          <w:rFonts w:cstheme="minorHAnsi"/>
          <w:sz w:val="24"/>
          <w:szCs w:val="24"/>
          <w:lang w:val="en-US"/>
        </w:rPr>
        <w:t>i</w:t>
      </w:r>
      <w:r w:rsidRPr="00BF02A2">
        <w:rPr>
          <w:rFonts w:cstheme="minorHAnsi"/>
          <w:sz w:val="24"/>
          <w:szCs w:val="24"/>
          <w:lang w:val="en-US"/>
        </w:rPr>
        <w:t>n</w:t>
      </w:r>
      <w:r w:rsidR="00E5209A" w:rsidRPr="00BF02A2">
        <w:rPr>
          <w:rFonts w:cstheme="minorHAnsi"/>
          <w:sz w:val="24"/>
          <w:szCs w:val="24"/>
          <w:lang w:val="en-US"/>
        </w:rPr>
        <w:t xml:space="preserve">patient </w:t>
      </w:r>
      <w:r w:rsidR="00621700">
        <w:rPr>
          <w:rFonts w:cstheme="minorHAnsi"/>
          <w:sz w:val="24"/>
          <w:szCs w:val="24"/>
          <w:lang w:val="en-US"/>
        </w:rPr>
        <w:t>u</w:t>
      </w:r>
      <w:r w:rsidRPr="00BF02A2">
        <w:rPr>
          <w:rFonts w:cstheme="minorHAnsi"/>
          <w:sz w:val="24"/>
          <w:szCs w:val="24"/>
          <w:lang w:val="en-US"/>
        </w:rPr>
        <w:t xml:space="preserve">nits (30 beds), </w:t>
      </w:r>
      <w:r w:rsidR="0044332C" w:rsidRPr="00BF02A2">
        <w:rPr>
          <w:rFonts w:cstheme="minorHAnsi"/>
          <w:sz w:val="24"/>
          <w:szCs w:val="24"/>
          <w:lang w:val="en-US"/>
        </w:rPr>
        <w:t>2</w:t>
      </w:r>
      <w:r w:rsidRPr="00BF02A2">
        <w:rPr>
          <w:rFonts w:cstheme="minorHAnsi"/>
          <w:sz w:val="24"/>
          <w:szCs w:val="24"/>
          <w:lang w:val="en-US"/>
        </w:rPr>
        <w:t xml:space="preserve"> </w:t>
      </w:r>
      <w:r w:rsidR="00621700">
        <w:rPr>
          <w:rFonts w:cstheme="minorHAnsi"/>
          <w:sz w:val="24"/>
          <w:szCs w:val="24"/>
          <w:lang w:val="en-US"/>
        </w:rPr>
        <w:t>i</w:t>
      </w:r>
      <w:r w:rsidRPr="00BF02A2">
        <w:rPr>
          <w:rFonts w:cstheme="minorHAnsi"/>
          <w:sz w:val="24"/>
          <w:szCs w:val="24"/>
          <w:lang w:val="en-US"/>
        </w:rPr>
        <w:t xml:space="preserve">ndependent </w:t>
      </w:r>
      <w:r w:rsidR="00621700">
        <w:rPr>
          <w:rFonts w:cstheme="minorHAnsi"/>
          <w:sz w:val="24"/>
          <w:szCs w:val="24"/>
          <w:lang w:val="en-US"/>
        </w:rPr>
        <w:t>i</w:t>
      </w:r>
      <w:r w:rsidRPr="00BF02A2">
        <w:rPr>
          <w:rFonts w:cstheme="minorHAnsi"/>
          <w:sz w:val="24"/>
          <w:szCs w:val="24"/>
          <w:lang w:val="en-US"/>
        </w:rPr>
        <w:t>n</w:t>
      </w:r>
      <w:r w:rsidR="00E5209A" w:rsidRPr="00BF02A2">
        <w:rPr>
          <w:rFonts w:cstheme="minorHAnsi"/>
          <w:sz w:val="24"/>
          <w:szCs w:val="24"/>
          <w:lang w:val="en-US"/>
        </w:rPr>
        <w:t xml:space="preserve">patient </w:t>
      </w:r>
      <w:r w:rsidR="00621700">
        <w:rPr>
          <w:rFonts w:cstheme="minorHAnsi"/>
          <w:sz w:val="24"/>
          <w:szCs w:val="24"/>
          <w:lang w:val="en-US"/>
        </w:rPr>
        <w:t>u</w:t>
      </w:r>
      <w:r w:rsidRPr="00BF02A2">
        <w:rPr>
          <w:rFonts w:cstheme="minorHAnsi"/>
          <w:sz w:val="24"/>
          <w:szCs w:val="24"/>
          <w:lang w:val="en-US"/>
        </w:rPr>
        <w:t>nits</w:t>
      </w:r>
      <w:r w:rsidR="00096ACC" w:rsidRPr="00BF02A2">
        <w:rPr>
          <w:rFonts w:cstheme="minorHAnsi"/>
          <w:sz w:val="24"/>
          <w:szCs w:val="24"/>
          <w:lang w:val="en-US"/>
        </w:rPr>
        <w:t xml:space="preserve"> (</w:t>
      </w:r>
      <w:r w:rsidR="00DF3E7D">
        <w:rPr>
          <w:rFonts w:cstheme="minorHAnsi"/>
          <w:sz w:val="24"/>
          <w:szCs w:val="24"/>
          <w:lang w:val="en-US"/>
        </w:rPr>
        <w:t xml:space="preserve">approximately </w:t>
      </w:r>
      <w:r w:rsidR="00FA58F8" w:rsidRPr="00BF02A2">
        <w:rPr>
          <w:rFonts w:cstheme="minorHAnsi"/>
          <w:sz w:val="24"/>
          <w:szCs w:val="24"/>
          <w:lang w:val="en-US"/>
        </w:rPr>
        <w:t>13 beds)</w:t>
      </w:r>
      <w:r w:rsidRPr="00BF02A2">
        <w:rPr>
          <w:rFonts w:cstheme="minorHAnsi"/>
          <w:sz w:val="24"/>
          <w:szCs w:val="24"/>
          <w:lang w:val="en-US"/>
        </w:rPr>
        <w:t xml:space="preserve">, </w:t>
      </w:r>
      <w:r w:rsidR="0044332C" w:rsidRPr="00BF02A2">
        <w:rPr>
          <w:rFonts w:cstheme="minorHAnsi"/>
          <w:sz w:val="24"/>
          <w:szCs w:val="24"/>
          <w:lang w:val="en-US"/>
        </w:rPr>
        <w:t>5</w:t>
      </w:r>
      <w:r w:rsidRPr="00BF02A2">
        <w:rPr>
          <w:rFonts w:cstheme="minorHAnsi"/>
          <w:sz w:val="24"/>
          <w:szCs w:val="24"/>
          <w:lang w:val="en-US"/>
        </w:rPr>
        <w:t xml:space="preserve"> day services and </w:t>
      </w:r>
      <w:r w:rsidR="0044332C" w:rsidRPr="00BF02A2">
        <w:rPr>
          <w:rFonts w:cstheme="minorHAnsi"/>
          <w:sz w:val="24"/>
          <w:szCs w:val="24"/>
          <w:lang w:val="en-US"/>
        </w:rPr>
        <w:t>8</w:t>
      </w:r>
      <w:r w:rsidRPr="00BF02A2">
        <w:rPr>
          <w:rFonts w:cstheme="minorHAnsi"/>
          <w:sz w:val="24"/>
          <w:szCs w:val="24"/>
          <w:lang w:val="en-US"/>
        </w:rPr>
        <w:t xml:space="preserve"> adult community </w:t>
      </w:r>
      <w:r w:rsidR="00345E81">
        <w:rPr>
          <w:rFonts w:cstheme="minorHAnsi"/>
          <w:sz w:val="24"/>
          <w:szCs w:val="24"/>
          <w:lang w:val="en-US"/>
        </w:rPr>
        <w:t>ED</w:t>
      </w:r>
      <w:r w:rsidR="00F376C0" w:rsidRPr="00BF02A2">
        <w:rPr>
          <w:rFonts w:cstheme="minorHAnsi"/>
          <w:sz w:val="24"/>
          <w:szCs w:val="24"/>
          <w:lang w:val="en-US"/>
        </w:rPr>
        <w:t xml:space="preserve"> </w:t>
      </w:r>
      <w:r w:rsidRPr="00BF02A2">
        <w:rPr>
          <w:rFonts w:cstheme="minorHAnsi"/>
          <w:sz w:val="24"/>
          <w:szCs w:val="24"/>
          <w:lang w:val="en-US"/>
        </w:rPr>
        <w:t xml:space="preserve">services. </w:t>
      </w:r>
    </w:p>
    <w:p w14:paraId="461E190C" w14:textId="2BCEEEAF" w:rsidR="00624B3A" w:rsidRPr="00BF02A2" w:rsidRDefault="005924C2" w:rsidP="00E764AA">
      <w:pPr>
        <w:spacing w:line="480" w:lineRule="auto"/>
        <w:rPr>
          <w:rFonts w:cstheme="minorHAnsi"/>
          <w:sz w:val="24"/>
          <w:szCs w:val="24"/>
        </w:rPr>
      </w:pPr>
      <w:r w:rsidRPr="00BF02A2">
        <w:rPr>
          <w:rFonts w:cstheme="minorHAnsi"/>
          <w:sz w:val="24"/>
          <w:szCs w:val="24"/>
        </w:rPr>
        <w:t>With the roll-out of PC</w:t>
      </w:r>
      <w:r w:rsidR="00C80B99" w:rsidRPr="00BF02A2">
        <w:rPr>
          <w:rFonts w:cstheme="minorHAnsi"/>
          <w:sz w:val="24"/>
          <w:szCs w:val="24"/>
        </w:rPr>
        <w:t>s</w:t>
      </w:r>
      <w:r w:rsidRPr="00BF02A2">
        <w:rPr>
          <w:rFonts w:cstheme="minorHAnsi"/>
          <w:sz w:val="24"/>
          <w:szCs w:val="24"/>
        </w:rPr>
        <w:t xml:space="preserve"> across the country, </w:t>
      </w:r>
      <w:r w:rsidR="00A67950" w:rsidRPr="00BF02A2">
        <w:rPr>
          <w:rFonts w:cstheme="minorHAnsi"/>
          <w:sz w:val="24"/>
          <w:szCs w:val="24"/>
        </w:rPr>
        <w:t xml:space="preserve">some </w:t>
      </w:r>
      <w:r w:rsidR="007E4FB4">
        <w:rPr>
          <w:rFonts w:cstheme="minorHAnsi"/>
          <w:sz w:val="24"/>
          <w:szCs w:val="24"/>
        </w:rPr>
        <w:t xml:space="preserve">(community and inpatient) </w:t>
      </w:r>
      <w:r w:rsidR="00A67950" w:rsidRPr="00BF02A2">
        <w:rPr>
          <w:rFonts w:cstheme="minorHAnsi"/>
          <w:sz w:val="24"/>
          <w:szCs w:val="24"/>
        </w:rPr>
        <w:t>partners</w:t>
      </w:r>
      <w:r w:rsidR="00D229AB">
        <w:rPr>
          <w:rFonts w:cstheme="minorHAnsi"/>
          <w:sz w:val="24"/>
          <w:szCs w:val="24"/>
        </w:rPr>
        <w:t xml:space="preserve"> decided </w:t>
      </w:r>
      <w:r w:rsidR="004824EA">
        <w:rPr>
          <w:rFonts w:cstheme="minorHAnsi"/>
          <w:sz w:val="24"/>
          <w:szCs w:val="24"/>
        </w:rPr>
        <w:t xml:space="preserve">to develop their own PCs </w:t>
      </w:r>
      <w:r w:rsidR="000479A7">
        <w:rPr>
          <w:rFonts w:cstheme="minorHAnsi"/>
          <w:sz w:val="24"/>
          <w:szCs w:val="24"/>
        </w:rPr>
        <w:t xml:space="preserve">to </w:t>
      </w:r>
      <w:r w:rsidR="002610C6">
        <w:rPr>
          <w:rFonts w:cstheme="minorHAnsi"/>
          <w:sz w:val="24"/>
          <w:szCs w:val="24"/>
        </w:rPr>
        <w:t>offer</w:t>
      </w:r>
      <w:r w:rsidR="000479A7">
        <w:rPr>
          <w:rFonts w:cstheme="minorHAnsi"/>
          <w:sz w:val="24"/>
          <w:szCs w:val="24"/>
        </w:rPr>
        <w:t xml:space="preserve"> care closer to home in their</w:t>
      </w:r>
      <w:r w:rsidR="00A7560A" w:rsidRPr="00BF02A2">
        <w:rPr>
          <w:rFonts w:cstheme="minorHAnsi"/>
          <w:sz w:val="24"/>
          <w:szCs w:val="24"/>
        </w:rPr>
        <w:t xml:space="preserve"> geographical locations. </w:t>
      </w:r>
      <w:r w:rsidR="00093525" w:rsidRPr="00BF02A2">
        <w:rPr>
          <w:rFonts w:cstheme="minorHAnsi"/>
          <w:sz w:val="24"/>
          <w:szCs w:val="24"/>
        </w:rPr>
        <w:t>Consequently, from September 2019 onwards, t</w:t>
      </w:r>
      <w:r w:rsidR="00A7560A" w:rsidRPr="00BF02A2">
        <w:rPr>
          <w:rFonts w:cstheme="minorHAnsi"/>
          <w:sz w:val="24"/>
          <w:szCs w:val="24"/>
        </w:rPr>
        <w:t xml:space="preserve">he HOPE PC </w:t>
      </w:r>
      <w:r w:rsidR="00582E07" w:rsidRPr="00BF02A2">
        <w:rPr>
          <w:rFonts w:cstheme="minorHAnsi"/>
          <w:sz w:val="24"/>
          <w:szCs w:val="24"/>
        </w:rPr>
        <w:t xml:space="preserve">footprint was reduced </w:t>
      </w:r>
      <w:r w:rsidR="008B35F6" w:rsidRPr="00BF02A2">
        <w:rPr>
          <w:rFonts w:cstheme="minorHAnsi"/>
          <w:sz w:val="24"/>
          <w:szCs w:val="24"/>
        </w:rPr>
        <w:t xml:space="preserve">to </w:t>
      </w:r>
      <w:r w:rsidR="002215EC" w:rsidRPr="00BF02A2">
        <w:rPr>
          <w:rFonts w:cstheme="minorHAnsi"/>
          <w:sz w:val="24"/>
          <w:szCs w:val="24"/>
        </w:rPr>
        <w:t>3 NHS Trusts and the Priory</w:t>
      </w:r>
      <w:r w:rsidR="002215EC">
        <w:rPr>
          <w:rFonts w:cstheme="minorHAnsi"/>
          <w:sz w:val="24"/>
          <w:szCs w:val="24"/>
        </w:rPr>
        <w:t xml:space="preserve"> </w:t>
      </w:r>
      <w:r w:rsidR="006E7FF5">
        <w:rPr>
          <w:rFonts w:cstheme="minorHAnsi"/>
          <w:sz w:val="24"/>
          <w:szCs w:val="24"/>
        </w:rPr>
        <w:t xml:space="preserve">covering a </w:t>
      </w:r>
      <w:r w:rsidR="00911D3E" w:rsidRPr="00BF02A2">
        <w:rPr>
          <w:rFonts w:cstheme="minorHAnsi"/>
          <w:sz w:val="24"/>
          <w:szCs w:val="24"/>
        </w:rPr>
        <w:t>population of 3.5 million</w:t>
      </w:r>
      <w:r w:rsidR="006E7FF5">
        <w:rPr>
          <w:rFonts w:cstheme="minorHAnsi"/>
          <w:sz w:val="24"/>
          <w:szCs w:val="24"/>
        </w:rPr>
        <w:t xml:space="preserve">. </w:t>
      </w:r>
      <w:r w:rsidR="006D5604" w:rsidRPr="00BF02A2">
        <w:rPr>
          <w:rFonts w:cstheme="minorHAnsi"/>
          <w:sz w:val="24"/>
          <w:szCs w:val="24"/>
        </w:rPr>
        <w:t xml:space="preserve">The </w:t>
      </w:r>
      <w:r w:rsidR="00145A75" w:rsidRPr="00BF02A2">
        <w:rPr>
          <w:rFonts w:cstheme="minorHAnsi"/>
          <w:sz w:val="24"/>
          <w:szCs w:val="24"/>
        </w:rPr>
        <w:t xml:space="preserve">learning from the </w:t>
      </w:r>
      <w:r w:rsidR="0014145D" w:rsidRPr="00BF02A2">
        <w:rPr>
          <w:rFonts w:cstheme="minorHAnsi"/>
          <w:sz w:val="24"/>
          <w:szCs w:val="24"/>
        </w:rPr>
        <w:t>smaller</w:t>
      </w:r>
      <w:r w:rsidR="002C51C5" w:rsidRPr="00BF02A2">
        <w:rPr>
          <w:rFonts w:cstheme="minorHAnsi"/>
          <w:sz w:val="24"/>
          <w:szCs w:val="24"/>
        </w:rPr>
        <w:t xml:space="preserve"> HOPE</w:t>
      </w:r>
      <w:r w:rsidR="0014145D" w:rsidRPr="00BF02A2">
        <w:rPr>
          <w:rFonts w:cstheme="minorHAnsi"/>
          <w:sz w:val="24"/>
          <w:szCs w:val="24"/>
        </w:rPr>
        <w:t xml:space="preserve"> PC </w:t>
      </w:r>
      <w:r w:rsidR="00D15421" w:rsidRPr="00BF02A2">
        <w:rPr>
          <w:rFonts w:cstheme="minorHAnsi"/>
          <w:sz w:val="24"/>
          <w:szCs w:val="24"/>
        </w:rPr>
        <w:t xml:space="preserve">including </w:t>
      </w:r>
      <w:r w:rsidR="006D5604" w:rsidRPr="00BF02A2">
        <w:rPr>
          <w:rFonts w:cstheme="minorHAnsi"/>
          <w:sz w:val="24"/>
          <w:szCs w:val="24"/>
        </w:rPr>
        <w:t>results</w:t>
      </w:r>
      <w:r w:rsidR="00854CFE" w:rsidRPr="00BF02A2">
        <w:rPr>
          <w:rFonts w:cstheme="minorHAnsi"/>
          <w:sz w:val="24"/>
          <w:szCs w:val="24"/>
        </w:rPr>
        <w:t xml:space="preserve"> and outcomes, demand and capacity</w:t>
      </w:r>
      <w:r w:rsidR="006B2859">
        <w:rPr>
          <w:rFonts w:cstheme="minorHAnsi"/>
          <w:sz w:val="24"/>
          <w:szCs w:val="24"/>
        </w:rPr>
        <w:t>,</w:t>
      </w:r>
      <w:r w:rsidR="00854CFE" w:rsidRPr="00BF02A2">
        <w:rPr>
          <w:rFonts w:cstheme="minorHAnsi"/>
          <w:sz w:val="24"/>
          <w:szCs w:val="24"/>
        </w:rPr>
        <w:t xml:space="preserve"> </w:t>
      </w:r>
      <w:r w:rsidR="002514DA" w:rsidRPr="00BF02A2">
        <w:rPr>
          <w:rFonts w:cstheme="minorHAnsi"/>
          <w:sz w:val="24"/>
          <w:szCs w:val="24"/>
        </w:rPr>
        <w:t xml:space="preserve">and impact of the pandemic </w:t>
      </w:r>
      <w:r w:rsidR="00D15421" w:rsidRPr="00BF02A2">
        <w:rPr>
          <w:rFonts w:cstheme="minorHAnsi"/>
          <w:sz w:val="24"/>
          <w:szCs w:val="24"/>
        </w:rPr>
        <w:t xml:space="preserve">is </w:t>
      </w:r>
      <w:r w:rsidR="00ED3B1E" w:rsidRPr="00BF02A2">
        <w:rPr>
          <w:rFonts w:cstheme="minorHAnsi"/>
          <w:sz w:val="24"/>
          <w:szCs w:val="24"/>
        </w:rPr>
        <w:t xml:space="preserve">reported in </w:t>
      </w:r>
      <w:r w:rsidR="001A2882" w:rsidRPr="00BF02A2">
        <w:rPr>
          <w:rFonts w:cstheme="minorHAnsi"/>
          <w:sz w:val="24"/>
          <w:szCs w:val="24"/>
        </w:rPr>
        <w:t xml:space="preserve">Ayton </w:t>
      </w:r>
      <w:r w:rsidR="001A2882" w:rsidRPr="00BF02A2">
        <w:rPr>
          <w:rFonts w:cstheme="minorHAnsi"/>
          <w:i/>
          <w:iCs/>
          <w:sz w:val="24"/>
          <w:szCs w:val="24"/>
        </w:rPr>
        <w:t>et al</w:t>
      </w:r>
      <w:r w:rsidR="001A2882" w:rsidRPr="00BF02A2">
        <w:rPr>
          <w:rFonts w:cstheme="minorHAnsi"/>
          <w:sz w:val="24"/>
          <w:szCs w:val="24"/>
        </w:rPr>
        <w:t>.</w:t>
      </w:r>
      <w:r w:rsidR="00141EA1" w:rsidRPr="00BF02A2">
        <w:rPr>
          <w:rFonts w:cstheme="minorHAnsi"/>
          <w:sz w:val="24"/>
          <w:szCs w:val="24"/>
        </w:rPr>
        <w:t xml:space="preserve"> (</w:t>
      </w:r>
      <w:r w:rsidR="001A2882" w:rsidRPr="00BF02A2">
        <w:rPr>
          <w:rFonts w:cstheme="minorHAnsi"/>
          <w:sz w:val="24"/>
          <w:szCs w:val="24"/>
        </w:rPr>
        <w:t>2021</w:t>
      </w:r>
      <w:r w:rsidR="00141EA1" w:rsidRPr="00BF02A2">
        <w:rPr>
          <w:rFonts w:cstheme="minorHAnsi"/>
          <w:sz w:val="24"/>
          <w:szCs w:val="24"/>
        </w:rPr>
        <w:t>)</w:t>
      </w:r>
      <w:r w:rsidR="002514DA" w:rsidRPr="00BF02A2">
        <w:rPr>
          <w:rFonts w:cstheme="minorHAnsi"/>
          <w:sz w:val="24"/>
          <w:szCs w:val="24"/>
        </w:rPr>
        <w:t xml:space="preserve">. </w:t>
      </w:r>
      <w:r w:rsidR="002F0A65">
        <w:rPr>
          <w:rFonts w:cstheme="minorHAnsi"/>
          <w:sz w:val="24"/>
          <w:szCs w:val="24"/>
        </w:rPr>
        <w:t>H</w:t>
      </w:r>
      <w:r w:rsidR="00966935">
        <w:rPr>
          <w:rFonts w:cstheme="minorHAnsi"/>
          <w:sz w:val="24"/>
          <w:szCs w:val="24"/>
        </w:rPr>
        <w:t xml:space="preserve">aving </w:t>
      </w:r>
      <w:r w:rsidR="00546375">
        <w:rPr>
          <w:rFonts w:cstheme="minorHAnsi"/>
          <w:sz w:val="24"/>
          <w:szCs w:val="24"/>
        </w:rPr>
        <w:t>functioned in ‘shadow form’</w:t>
      </w:r>
      <w:r w:rsidR="00966935">
        <w:rPr>
          <w:rFonts w:cstheme="minorHAnsi"/>
          <w:sz w:val="24"/>
          <w:szCs w:val="24"/>
        </w:rPr>
        <w:t xml:space="preserve">, </w:t>
      </w:r>
      <w:r w:rsidR="00546375">
        <w:rPr>
          <w:rFonts w:cstheme="minorHAnsi"/>
          <w:sz w:val="24"/>
          <w:szCs w:val="24"/>
        </w:rPr>
        <w:t>th</w:t>
      </w:r>
      <w:r w:rsidR="007E2E37">
        <w:rPr>
          <w:rFonts w:cstheme="minorHAnsi"/>
          <w:sz w:val="24"/>
          <w:szCs w:val="24"/>
        </w:rPr>
        <w:t xml:space="preserve">e HOPE PC </w:t>
      </w:r>
      <w:r w:rsidR="00317232">
        <w:rPr>
          <w:rFonts w:cstheme="minorHAnsi"/>
          <w:sz w:val="24"/>
          <w:szCs w:val="24"/>
        </w:rPr>
        <w:t xml:space="preserve">is scheduled to go ‘live’ in </w:t>
      </w:r>
      <w:r w:rsidR="00966935">
        <w:rPr>
          <w:rFonts w:cstheme="minorHAnsi"/>
          <w:sz w:val="24"/>
          <w:szCs w:val="24"/>
        </w:rPr>
        <w:t>aut</w:t>
      </w:r>
      <w:r w:rsidR="008854E1">
        <w:rPr>
          <w:rFonts w:cstheme="minorHAnsi"/>
          <w:sz w:val="24"/>
          <w:szCs w:val="24"/>
        </w:rPr>
        <w:t xml:space="preserve">umn </w:t>
      </w:r>
      <w:r w:rsidR="00317232">
        <w:rPr>
          <w:rFonts w:cstheme="minorHAnsi"/>
          <w:sz w:val="24"/>
          <w:szCs w:val="24"/>
        </w:rPr>
        <w:t>2021</w:t>
      </w:r>
      <w:r w:rsidR="00CC4A48">
        <w:rPr>
          <w:rFonts w:cstheme="minorHAnsi"/>
          <w:sz w:val="24"/>
          <w:szCs w:val="24"/>
        </w:rPr>
        <w:t xml:space="preserve"> when </w:t>
      </w:r>
      <w:r w:rsidR="004A3018">
        <w:rPr>
          <w:rFonts w:cstheme="minorHAnsi"/>
          <w:sz w:val="24"/>
          <w:szCs w:val="24"/>
        </w:rPr>
        <w:t xml:space="preserve">the </w:t>
      </w:r>
      <w:r w:rsidR="000D50DE">
        <w:rPr>
          <w:rFonts w:cstheme="minorHAnsi"/>
          <w:sz w:val="24"/>
          <w:szCs w:val="24"/>
        </w:rPr>
        <w:t>lead provider</w:t>
      </w:r>
      <w:r w:rsidR="00453B88">
        <w:rPr>
          <w:rFonts w:cstheme="minorHAnsi"/>
          <w:sz w:val="24"/>
          <w:szCs w:val="24"/>
        </w:rPr>
        <w:t xml:space="preserve"> </w:t>
      </w:r>
      <w:r w:rsidR="00076D4C">
        <w:rPr>
          <w:rFonts w:cstheme="minorHAnsi"/>
          <w:sz w:val="24"/>
          <w:szCs w:val="24"/>
        </w:rPr>
        <w:t xml:space="preserve">will </w:t>
      </w:r>
      <w:r w:rsidR="00453B88">
        <w:rPr>
          <w:rFonts w:cstheme="minorHAnsi"/>
          <w:sz w:val="24"/>
          <w:szCs w:val="24"/>
        </w:rPr>
        <w:t>accept full contractual responsibility for the PC</w:t>
      </w:r>
      <w:r w:rsidR="005E145E">
        <w:rPr>
          <w:rFonts w:cstheme="minorHAnsi"/>
          <w:sz w:val="24"/>
          <w:szCs w:val="24"/>
        </w:rPr>
        <w:t xml:space="preserve">. </w:t>
      </w:r>
      <w:r w:rsidR="00317232">
        <w:rPr>
          <w:rFonts w:cstheme="minorHAnsi"/>
          <w:sz w:val="24"/>
          <w:szCs w:val="24"/>
        </w:rPr>
        <w:t xml:space="preserve"> </w:t>
      </w:r>
    </w:p>
    <w:p w14:paraId="156621F8" w14:textId="576D24F1" w:rsidR="009B3F9B" w:rsidRPr="00BF02A2" w:rsidRDefault="008766DF" w:rsidP="00E764AA">
      <w:pPr>
        <w:spacing w:line="480" w:lineRule="auto"/>
        <w:rPr>
          <w:rFonts w:cstheme="minorHAnsi"/>
          <w:sz w:val="24"/>
          <w:szCs w:val="24"/>
        </w:rPr>
      </w:pPr>
      <w:r w:rsidRPr="00BF02A2">
        <w:rPr>
          <w:rFonts w:cstheme="minorHAnsi"/>
          <w:sz w:val="24"/>
          <w:szCs w:val="24"/>
        </w:rPr>
        <w:t xml:space="preserve">Moving </w:t>
      </w:r>
      <w:r w:rsidR="0029610E" w:rsidRPr="00BF02A2">
        <w:rPr>
          <w:rFonts w:cstheme="minorHAnsi"/>
          <w:sz w:val="24"/>
          <w:szCs w:val="24"/>
        </w:rPr>
        <w:t>away from</w:t>
      </w:r>
      <w:r w:rsidR="00FC63AD" w:rsidRPr="00BF02A2">
        <w:rPr>
          <w:rFonts w:cstheme="minorHAnsi"/>
          <w:sz w:val="24"/>
          <w:szCs w:val="24"/>
        </w:rPr>
        <w:t xml:space="preserve"> </w:t>
      </w:r>
      <w:r w:rsidR="00551D37" w:rsidRPr="00BF02A2">
        <w:rPr>
          <w:rFonts w:cstheme="minorHAnsi"/>
          <w:sz w:val="24"/>
          <w:szCs w:val="24"/>
        </w:rPr>
        <w:t>attitudes based on a</w:t>
      </w:r>
      <w:r w:rsidR="00FC63AD" w:rsidRPr="00BF02A2">
        <w:rPr>
          <w:rFonts w:cstheme="minorHAnsi"/>
          <w:sz w:val="24"/>
          <w:szCs w:val="24"/>
        </w:rPr>
        <w:t xml:space="preserve"> competitive </w:t>
      </w:r>
      <w:r w:rsidR="008C05A2" w:rsidRPr="00BF02A2">
        <w:rPr>
          <w:rFonts w:cstheme="minorHAnsi"/>
          <w:sz w:val="24"/>
          <w:szCs w:val="24"/>
        </w:rPr>
        <w:t xml:space="preserve">internal market approach </w:t>
      </w:r>
      <w:r w:rsidR="003C772F" w:rsidRPr="00BF02A2">
        <w:rPr>
          <w:rFonts w:cstheme="minorHAnsi"/>
          <w:sz w:val="24"/>
          <w:szCs w:val="24"/>
        </w:rPr>
        <w:t>(</w:t>
      </w:r>
      <w:r w:rsidR="00565BA9" w:rsidRPr="00BF02A2">
        <w:rPr>
          <w:rFonts w:cstheme="minorHAnsi"/>
          <w:sz w:val="24"/>
          <w:szCs w:val="24"/>
        </w:rPr>
        <w:t xml:space="preserve">Alderwick, 2021; </w:t>
      </w:r>
      <w:r w:rsidR="00C4044F" w:rsidRPr="00BF02A2">
        <w:rPr>
          <w:rFonts w:cstheme="minorHAnsi"/>
          <w:sz w:val="24"/>
          <w:szCs w:val="24"/>
        </w:rPr>
        <w:t>Moberl</w:t>
      </w:r>
      <w:r w:rsidR="00565BA9" w:rsidRPr="00BF02A2">
        <w:rPr>
          <w:rFonts w:cstheme="minorHAnsi"/>
          <w:sz w:val="24"/>
          <w:szCs w:val="24"/>
        </w:rPr>
        <w:t xml:space="preserve">y, </w:t>
      </w:r>
      <w:r w:rsidR="003C772F" w:rsidRPr="00BF02A2">
        <w:rPr>
          <w:rFonts w:cstheme="minorHAnsi"/>
          <w:sz w:val="24"/>
          <w:szCs w:val="24"/>
        </w:rPr>
        <w:t xml:space="preserve">2018) </w:t>
      </w:r>
      <w:r w:rsidR="008C05A2" w:rsidRPr="00BF02A2">
        <w:rPr>
          <w:rFonts w:cstheme="minorHAnsi"/>
          <w:sz w:val="24"/>
          <w:szCs w:val="24"/>
        </w:rPr>
        <w:t>to</w:t>
      </w:r>
      <w:r w:rsidR="0063119A" w:rsidRPr="00BF02A2">
        <w:rPr>
          <w:rFonts w:cstheme="minorHAnsi"/>
          <w:sz w:val="24"/>
          <w:szCs w:val="24"/>
        </w:rPr>
        <w:t>wards</w:t>
      </w:r>
      <w:r w:rsidR="00CF2768" w:rsidRPr="00BF02A2">
        <w:rPr>
          <w:rFonts w:cstheme="minorHAnsi"/>
          <w:sz w:val="24"/>
          <w:szCs w:val="24"/>
        </w:rPr>
        <w:t xml:space="preserve"> embracing values of</w:t>
      </w:r>
      <w:r w:rsidR="0063119A" w:rsidRPr="00BF02A2">
        <w:rPr>
          <w:rFonts w:cstheme="minorHAnsi"/>
          <w:sz w:val="24"/>
          <w:szCs w:val="24"/>
        </w:rPr>
        <w:t xml:space="preserve"> integration, collaboration and</w:t>
      </w:r>
      <w:r w:rsidR="008D03EA" w:rsidRPr="00BF02A2">
        <w:rPr>
          <w:rFonts w:cstheme="minorHAnsi"/>
          <w:sz w:val="24"/>
          <w:szCs w:val="24"/>
        </w:rPr>
        <w:t xml:space="preserve"> </w:t>
      </w:r>
      <w:r w:rsidR="0038188C" w:rsidRPr="00BF02A2">
        <w:rPr>
          <w:rFonts w:cstheme="minorHAnsi"/>
          <w:sz w:val="24"/>
          <w:szCs w:val="24"/>
        </w:rPr>
        <w:t>trust</w:t>
      </w:r>
      <w:r w:rsidR="008D03EA" w:rsidRPr="00BF02A2">
        <w:rPr>
          <w:rFonts w:cstheme="minorHAnsi"/>
          <w:sz w:val="24"/>
          <w:szCs w:val="24"/>
        </w:rPr>
        <w:t xml:space="preserve"> between various</w:t>
      </w:r>
      <w:r w:rsidR="0038188C" w:rsidRPr="00BF02A2">
        <w:rPr>
          <w:rFonts w:cstheme="minorHAnsi"/>
          <w:sz w:val="24"/>
          <w:szCs w:val="24"/>
        </w:rPr>
        <w:t xml:space="preserve"> NHS and private sector </w:t>
      </w:r>
      <w:r w:rsidR="008074B3" w:rsidRPr="00BF02A2">
        <w:rPr>
          <w:rFonts w:cstheme="minorHAnsi"/>
          <w:sz w:val="24"/>
          <w:szCs w:val="24"/>
        </w:rPr>
        <w:t>partners</w:t>
      </w:r>
      <w:r w:rsidR="00D03949" w:rsidRPr="00BF02A2">
        <w:rPr>
          <w:rFonts w:cstheme="minorHAnsi"/>
          <w:sz w:val="24"/>
          <w:szCs w:val="24"/>
        </w:rPr>
        <w:t xml:space="preserve"> took time. </w:t>
      </w:r>
      <w:r w:rsidR="009D4440" w:rsidRPr="00BF02A2">
        <w:rPr>
          <w:rFonts w:cstheme="minorHAnsi"/>
          <w:sz w:val="24"/>
          <w:szCs w:val="24"/>
        </w:rPr>
        <w:t>One</w:t>
      </w:r>
      <w:r w:rsidR="009C0E3F" w:rsidRPr="00BF02A2">
        <w:rPr>
          <w:rFonts w:cstheme="minorHAnsi"/>
          <w:sz w:val="24"/>
          <w:szCs w:val="24"/>
        </w:rPr>
        <w:t xml:space="preserve"> </w:t>
      </w:r>
      <w:r w:rsidR="00977011" w:rsidRPr="00BF02A2">
        <w:rPr>
          <w:rFonts w:cstheme="minorHAnsi"/>
          <w:sz w:val="24"/>
          <w:szCs w:val="24"/>
        </w:rPr>
        <w:t xml:space="preserve">factor that helped the process, was setting up </w:t>
      </w:r>
      <w:r w:rsidR="007F1043" w:rsidRPr="00BF02A2">
        <w:rPr>
          <w:rFonts w:cstheme="minorHAnsi"/>
          <w:sz w:val="24"/>
          <w:szCs w:val="24"/>
        </w:rPr>
        <w:t xml:space="preserve">a clinical governance group (CGG) with </w:t>
      </w:r>
      <w:r w:rsidR="008D391D" w:rsidRPr="00BF02A2">
        <w:rPr>
          <w:rFonts w:cstheme="minorHAnsi"/>
          <w:sz w:val="24"/>
          <w:szCs w:val="24"/>
        </w:rPr>
        <w:t>task and finish groups (represented by 1-2 senior clinicians f</w:t>
      </w:r>
      <w:r w:rsidR="001F52CC">
        <w:rPr>
          <w:rFonts w:cstheme="minorHAnsi"/>
          <w:sz w:val="24"/>
          <w:szCs w:val="24"/>
        </w:rPr>
        <w:t>ro</w:t>
      </w:r>
      <w:r w:rsidR="008D391D" w:rsidRPr="00BF02A2">
        <w:rPr>
          <w:rFonts w:cstheme="minorHAnsi"/>
          <w:sz w:val="24"/>
          <w:szCs w:val="24"/>
        </w:rPr>
        <w:t xml:space="preserve">m each partner) who </w:t>
      </w:r>
      <w:r w:rsidR="006B1229" w:rsidRPr="00BF02A2">
        <w:rPr>
          <w:rFonts w:cstheme="minorHAnsi"/>
          <w:sz w:val="24"/>
          <w:szCs w:val="24"/>
        </w:rPr>
        <w:t xml:space="preserve">developed </w:t>
      </w:r>
      <w:r w:rsidR="009C0E3F" w:rsidRPr="00BF02A2">
        <w:rPr>
          <w:rFonts w:cstheme="minorHAnsi"/>
          <w:sz w:val="24"/>
          <w:szCs w:val="24"/>
        </w:rPr>
        <w:t>a</w:t>
      </w:r>
      <w:r w:rsidR="00B82776" w:rsidRPr="00BF02A2">
        <w:rPr>
          <w:rFonts w:cstheme="minorHAnsi"/>
          <w:sz w:val="24"/>
          <w:szCs w:val="24"/>
        </w:rPr>
        <w:t xml:space="preserve"> </w:t>
      </w:r>
      <w:r w:rsidR="006B1229" w:rsidRPr="00BF02A2">
        <w:rPr>
          <w:rFonts w:cstheme="minorHAnsi"/>
          <w:sz w:val="24"/>
          <w:szCs w:val="24"/>
        </w:rPr>
        <w:t xml:space="preserve">comprehensive </w:t>
      </w:r>
      <w:r w:rsidR="00B82776" w:rsidRPr="00BF02A2">
        <w:rPr>
          <w:rFonts w:cstheme="minorHAnsi"/>
          <w:sz w:val="24"/>
          <w:szCs w:val="24"/>
        </w:rPr>
        <w:t>Standard Operating Procedure</w:t>
      </w:r>
      <w:r w:rsidR="009C0E3F" w:rsidRPr="00BF02A2">
        <w:rPr>
          <w:rFonts w:cstheme="minorHAnsi"/>
          <w:sz w:val="24"/>
          <w:szCs w:val="24"/>
        </w:rPr>
        <w:t xml:space="preserve"> </w:t>
      </w:r>
      <w:r w:rsidR="00DF41E3" w:rsidRPr="00BF02A2">
        <w:rPr>
          <w:rFonts w:cstheme="minorHAnsi"/>
          <w:sz w:val="24"/>
          <w:szCs w:val="24"/>
        </w:rPr>
        <w:t xml:space="preserve">(SOP) </w:t>
      </w:r>
      <w:r w:rsidR="009C0E3F" w:rsidRPr="00BF02A2">
        <w:rPr>
          <w:rFonts w:cstheme="minorHAnsi"/>
          <w:sz w:val="24"/>
          <w:szCs w:val="24"/>
        </w:rPr>
        <w:t xml:space="preserve">for the </w:t>
      </w:r>
      <w:r w:rsidR="00141EA1" w:rsidRPr="00BF02A2">
        <w:rPr>
          <w:rFonts w:cstheme="minorHAnsi"/>
          <w:sz w:val="24"/>
          <w:szCs w:val="24"/>
        </w:rPr>
        <w:t xml:space="preserve">HOPE </w:t>
      </w:r>
      <w:r w:rsidR="009C0E3F" w:rsidRPr="00BF02A2">
        <w:rPr>
          <w:rFonts w:cstheme="minorHAnsi"/>
          <w:sz w:val="24"/>
          <w:szCs w:val="24"/>
        </w:rPr>
        <w:t xml:space="preserve">PC. </w:t>
      </w:r>
      <w:r w:rsidR="009B3F9B" w:rsidRPr="00BF02A2">
        <w:rPr>
          <w:rFonts w:cstheme="minorHAnsi"/>
          <w:sz w:val="24"/>
          <w:szCs w:val="24"/>
        </w:rPr>
        <w:t xml:space="preserve">The </w:t>
      </w:r>
      <w:r w:rsidR="00DF41E3" w:rsidRPr="00BF02A2">
        <w:rPr>
          <w:rFonts w:cstheme="minorHAnsi"/>
          <w:sz w:val="24"/>
          <w:szCs w:val="24"/>
        </w:rPr>
        <w:t xml:space="preserve">SOP </w:t>
      </w:r>
      <w:r w:rsidR="009B3F9B" w:rsidRPr="00BF02A2">
        <w:rPr>
          <w:rFonts w:cstheme="minorHAnsi"/>
          <w:sz w:val="24"/>
          <w:szCs w:val="24"/>
        </w:rPr>
        <w:t>described in detail</w:t>
      </w:r>
      <w:r w:rsidR="00DF41E3" w:rsidRPr="00BF02A2">
        <w:rPr>
          <w:rFonts w:cstheme="minorHAnsi"/>
          <w:sz w:val="24"/>
          <w:szCs w:val="24"/>
        </w:rPr>
        <w:t xml:space="preserve"> all aspects of the clinical functioning of the PC</w:t>
      </w:r>
      <w:r w:rsidR="00FE1319" w:rsidRPr="00BF02A2">
        <w:rPr>
          <w:rFonts w:cstheme="minorHAnsi"/>
          <w:sz w:val="24"/>
          <w:szCs w:val="24"/>
        </w:rPr>
        <w:t>,</w:t>
      </w:r>
      <w:r w:rsidR="00DF41E3" w:rsidRPr="00BF02A2">
        <w:rPr>
          <w:rFonts w:cstheme="minorHAnsi"/>
          <w:sz w:val="24"/>
          <w:szCs w:val="24"/>
        </w:rPr>
        <w:t xml:space="preserve"> as well as </w:t>
      </w:r>
      <w:r w:rsidR="00C95DD7" w:rsidRPr="00BF02A2">
        <w:rPr>
          <w:rFonts w:cstheme="minorHAnsi"/>
          <w:sz w:val="24"/>
          <w:szCs w:val="24"/>
        </w:rPr>
        <w:t>clarifying</w:t>
      </w:r>
      <w:r w:rsidR="00DF41E3" w:rsidRPr="00BF02A2">
        <w:rPr>
          <w:rFonts w:cstheme="minorHAnsi"/>
          <w:sz w:val="24"/>
          <w:szCs w:val="24"/>
        </w:rPr>
        <w:t xml:space="preserve"> roles and expectations of all </w:t>
      </w:r>
      <w:r w:rsidR="00ED0F39" w:rsidRPr="00BF02A2">
        <w:rPr>
          <w:rFonts w:cstheme="minorHAnsi"/>
          <w:sz w:val="24"/>
          <w:szCs w:val="24"/>
        </w:rPr>
        <w:t xml:space="preserve">stakeholders. In this regard, the SOP addressed the following areas: </w:t>
      </w:r>
    </w:p>
    <w:p w14:paraId="64DB5284" w14:textId="304A6660" w:rsidR="000410EE" w:rsidRPr="00BF02A2" w:rsidRDefault="000410EE" w:rsidP="00E764AA">
      <w:pPr>
        <w:pStyle w:val="ListParagraph"/>
        <w:numPr>
          <w:ilvl w:val="0"/>
          <w:numId w:val="16"/>
        </w:numPr>
        <w:spacing w:line="480" w:lineRule="auto"/>
        <w:ind w:left="360"/>
        <w:rPr>
          <w:rFonts w:cstheme="minorHAnsi"/>
          <w:sz w:val="24"/>
          <w:szCs w:val="24"/>
        </w:rPr>
      </w:pPr>
      <w:r w:rsidRPr="00BF02A2">
        <w:rPr>
          <w:rFonts w:cstheme="minorHAnsi"/>
          <w:sz w:val="24"/>
          <w:szCs w:val="24"/>
        </w:rPr>
        <w:t xml:space="preserve">Single Point of </w:t>
      </w:r>
      <w:r w:rsidR="00ED0F39" w:rsidRPr="00BF02A2">
        <w:rPr>
          <w:rFonts w:cstheme="minorHAnsi"/>
          <w:sz w:val="24"/>
          <w:szCs w:val="24"/>
        </w:rPr>
        <w:t>Access</w:t>
      </w:r>
      <w:r w:rsidR="00A87CEB" w:rsidRPr="00BF02A2">
        <w:rPr>
          <w:rFonts w:cstheme="minorHAnsi"/>
          <w:sz w:val="24"/>
          <w:szCs w:val="24"/>
        </w:rPr>
        <w:t xml:space="preserve"> (</w:t>
      </w:r>
      <w:r w:rsidR="00ED0F39" w:rsidRPr="00BF02A2">
        <w:rPr>
          <w:rFonts w:cstheme="minorHAnsi"/>
          <w:sz w:val="24"/>
          <w:szCs w:val="24"/>
        </w:rPr>
        <w:t xml:space="preserve">SPA, </w:t>
      </w:r>
      <w:r w:rsidR="00A87CEB" w:rsidRPr="00BF02A2">
        <w:rPr>
          <w:rFonts w:cstheme="minorHAnsi"/>
          <w:sz w:val="24"/>
          <w:szCs w:val="24"/>
        </w:rPr>
        <w:t xml:space="preserve">including the referral process, </w:t>
      </w:r>
      <w:r w:rsidR="001E0999" w:rsidRPr="00BF02A2">
        <w:rPr>
          <w:rFonts w:cstheme="minorHAnsi"/>
          <w:sz w:val="24"/>
          <w:szCs w:val="24"/>
        </w:rPr>
        <w:t>responsibilities,</w:t>
      </w:r>
      <w:r w:rsidR="00905ACA" w:rsidRPr="00BF02A2">
        <w:rPr>
          <w:rFonts w:cstheme="minorHAnsi"/>
          <w:sz w:val="24"/>
          <w:szCs w:val="24"/>
        </w:rPr>
        <w:t xml:space="preserve"> and response times of the SPA)</w:t>
      </w:r>
      <w:r w:rsidR="004C5ED2">
        <w:rPr>
          <w:rFonts w:cstheme="minorHAnsi"/>
          <w:sz w:val="24"/>
          <w:szCs w:val="24"/>
        </w:rPr>
        <w:t>.</w:t>
      </w:r>
    </w:p>
    <w:p w14:paraId="7A76FDB5" w14:textId="264CD6D3" w:rsidR="00003B3C" w:rsidRPr="00BF02A2" w:rsidRDefault="000A5467" w:rsidP="00E764AA">
      <w:pPr>
        <w:pStyle w:val="ListParagraph"/>
        <w:numPr>
          <w:ilvl w:val="0"/>
          <w:numId w:val="16"/>
        </w:numPr>
        <w:spacing w:line="480" w:lineRule="auto"/>
        <w:ind w:left="360"/>
        <w:rPr>
          <w:rFonts w:cstheme="minorHAnsi"/>
          <w:sz w:val="24"/>
          <w:szCs w:val="24"/>
        </w:rPr>
      </w:pPr>
      <w:r w:rsidRPr="00BF02A2">
        <w:rPr>
          <w:rFonts w:cstheme="minorHAnsi"/>
          <w:sz w:val="24"/>
          <w:szCs w:val="24"/>
        </w:rPr>
        <w:t>Data Collection</w:t>
      </w:r>
      <w:r w:rsidR="00C041C9" w:rsidRPr="00BF02A2">
        <w:rPr>
          <w:rFonts w:cstheme="minorHAnsi"/>
          <w:sz w:val="24"/>
          <w:szCs w:val="24"/>
        </w:rPr>
        <w:t xml:space="preserve">. </w:t>
      </w:r>
      <w:r w:rsidR="00550A75">
        <w:rPr>
          <w:rFonts w:cstheme="minorHAnsi"/>
          <w:sz w:val="24"/>
          <w:szCs w:val="24"/>
        </w:rPr>
        <w:t>P</w:t>
      </w:r>
      <w:r w:rsidR="00003B3C" w:rsidRPr="00BF02A2">
        <w:rPr>
          <w:rFonts w:cstheme="minorHAnsi"/>
          <w:sz w:val="24"/>
          <w:szCs w:val="24"/>
        </w:rPr>
        <w:t>rovider</w:t>
      </w:r>
      <w:r w:rsidR="00C041C9" w:rsidRPr="00BF02A2">
        <w:rPr>
          <w:rFonts w:cstheme="minorHAnsi"/>
          <w:sz w:val="24"/>
          <w:szCs w:val="24"/>
        </w:rPr>
        <w:t>s</w:t>
      </w:r>
      <w:r w:rsidR="00003B3C" w:rsidRPr="00BF02A2">
        <w:rPr>
          <w:rFonts w:cstheme="minorHAnsi"/>
          <w:sz w:val="24"/>
          <w:szCs w:val="24"/>
        </w:rPr>
        <w:t xml:space="preserve"> agreed to routinely collect outcome data using the following measures: Eating Disorder Examination- Questionnaire</w:t>
      </w:r>
      <w:r w:rsidR="00507F93" w:rsidRPr="00BF02A2">
        <w:rPr>
          <w:rFonts w:cstheme="minorHAnsi"/>
          <w:sz w:val="24"/>
          <w:szCs w:val="24"/>
        </w:rPr>
        <w:t xml:space="preserve">, </w:t>
      </w:r>
      <w:r w:rsidR="00003B3C" w:rsidRPr="00BF02A2">
        <w:rPr>
          <w:rFonts w:cstheme="minorHAnsi"/>
          <w:sz w:val="24"/>
          <w:szCs w:val="24"/>
        </w:rPr>
        <w:t>EDE-Q</w:t>
      </w:r>
      <w:r w:rsidR="00507F93" w:rsidRPr="00BF02A2">
        <w:rPr>
          <w:rFonts w:cstheme="minorHAnsi"/>
          <w:sz w:val="24"/>
          <w:szCs w:val="24"/>
        </w:rPr>
        <w:t xml:space="preserve">; </w:t>
      </w:r>
      <w:r w:rsidR="00003B3C" w:rsidRPr="00BF02A2">
        <w:rPr>
          <w:rFonts w:cstheme="minorHAnsi"/>
          <w:sz w:val="24"/>
          <w:szCs w:val="24"/>
        </w:rPr>
        <w:t>Clinical Impairment Assessment</w:t>
      </w:r>
      <w:r w:rsidR="00507F93" w:rsidRPr="00BF02A2">
        <w:rPr>
          <w:rFonts w:cstheme="minorHAnsi"/>
          <w:sz w:val="24"/>
          <w:szCs w:val="24"/>
        </w:rPr>
        <w:t xml:space="preserve">, </w:t>
      </w:r>
      <w:r w:rsidR="00003B3C" w:rsidRPr="00BF02A2">
        <w:rPr>
          <w:rFonts w:cstheme="minorHAnsi"/>
          <w:sz w:val="24"/>
          <w:szCs w:val="24"/>
        </w:rPr>
        <w:t>CIA</w:t>
      </w:r>
      <w:r w:rsidR="00507F93" w:rsidRPr="00BF02A2">
        <w:rPr>
          <w:rFonts w:cstheme="minorHAnsi"/>
          <w:sz w:val="24"/>
          <w:szCs w:val="24"/>
        </w:rPr>
        <w:t xml:space="preserve">; </w:t>
      </w:r>
      <w:r w:rsidR="00003B3C" w:rsidRPr="00BF02A2">
        <w:rPr>
          <w:rFonts w:cstheme="minorHAnsi"/>
          <w:sz w:val="24"/>
          <w:szCs w:val="24"/>
        </w:rPr>
        <w:t>Patient Health Questionnaire</w:t>
      </w:r>
      <w:r w:rsidR="00507F93" w:rsidRPr="00BF02A2">
        <w:rPr>
          <w:rFonts w:cstheme="minorHAnsi"/>
          <w:sz w:val="24"/>
          <w:szCs w:val="24"/>
        </w:rPr>
        <w:t xml:space="preserve">, </w:t>
      </w:r>
      <w:r w:rsidR="00003B3C" w:rsidRPr="00BF02A2">
        <w:rPr>
          <w:rFonts w:cstheme="minorHAnsi"/>
          <w:sz w:val="24"/>
          <w:szCs w:val="24"/>
        </w:rPr>
        <w:t>PHQ-9</w:t>
      </w:r>
      <w:r w:rsidR="00507F93" w:rsidRPr="00BF02A2">
        <w:rPr>
          <w:rFonts w:cstheme="minorHAnsi"/>
          <w:sz w:val="24"/>
          <w:szCs w:val="24"/>
        </w:rPr>
        <w:t xml:space="preserve">; </w:t>
      </w:r>
      <w:r w:rsidR="00003B3C" w:rsidRPr="00BF02A2">
        <w:rPr>
          <w:rFonts w:cstheme="minorHAnsi"/>
          <w:sz w:val="24"/>
          <w:szCs w:val="24"/>
        </w:rPr>
        <w:t>Generalised Anxiety Disorder Assessment</w:t>
      </w:r>
      <w:r w:rsidR="00507F93" w:rsidRPr="00BF02A2">
        <w:rPr>
          <w:rFonts w:cstheme="minorHAnsi"/>
          <w:sz w:val="24"/>
          <w:szCs w:val="24"/>
        </w:rPr>
        <w:t xml:space="preserve">, </w:t>
      </w:r>
      <w:r w:rsidR="00003B3C" w:rsidRPr="00BF02A2">
        <w:rPr>
          <w:rFonts w:cstheme="minorHAnsi"/>
          <w:sz w:val="24"/>
          <w:szCs w:val="24"/>
        </w:rPr>
        <w:t>GAD-7</w:t>
      </w:r>
      <w:r w:rsidR="00507F93" w:rsidRPr="00BF02A2">
        <w:rPr>
          <w:rFonts w:cstheme="minorHAnsi"/>
          <w:sz w:val="24"/>
          <w:szCs w:val="24"/>
        </w:rPr>
        <w:t xml:space="preserve">; </w:t>
      </w:r>
      <w:r w:rsidR="00CB2CCD" w:rsidRPr="00BF02A2">
        <w:rPr>
          <w:rFonts w:cstheme="minorHAnsi"/>
          <w:sz w:val="24"/>
          <w:szCs w:val="24"/>
        </w:rPr>
        <w:t>body mass index</w:t>
      </w:r>
      <w:r w:rsidR="00E0360A" w:rsidRPr="00BF02A2">
        <w:rPr>
          <w:rFonts w:cstheme="minorHAnsi"/>
          <w:sz w:val="24"/>
          <w:szCs w:val="24"/>
        </w:rPr>
        <w:t xml:space="preserve"> </w:t>
      </w:r>
      <w:r w:rsidR="00003B3C" w:rsidRPr="00BF02A2">
        <w:rPr>
          <w:rFonts w:cstheme="minorHAnsi"/>
          <w:sz w:val="24"/>
          <w:szCs w:val="24"/>
        </w:rPr>
        <w:t>(</w:t>
      </w:r>
      <w:r w:rsidR="00E0360A" w:rsidRPr="00BF02A2">
        <w:rPr>
          <w:rFonts w:cstheme="minorHAnsi"/>
          <w:sz w:val="24"/>
          <w:szCs w:val="24"/>
        </w:rPr>
        <w:t xml:space="preserve">BMI, </w:t>
      </w:r>
      <w:r w:rsidR="00003B3C" w:rsidRPr="00BF02A2">
        <w:rPr>
          <w:rFonts w:cstheme="minorHAnsi"/>
          <w:sz w:val="24"/>
          <w:szCs w:val="24"/>
        </w:rPr>
        <w:t>admission and discharge)</w:t>
      </w:r>
      <w:r w:rsidR="00CE2D7A" w:rsidRPr="00BF02A2">
        <w:rPr>
          <w:rFonts w:cstheme="minorHAnsi"/>
          <w:sz w:val="24"/>
          <w:szCs w:val="24"/>
        </w:rPr>
        <w:t xml:space="preserve">; </w:t>
      </w:r>
      <w:r w:rsidR="00CC52DA" w:rsidRPr="00BF02A2">
        <w:rPr>
          <w:rFonts w:cstheme="minorHAnsi"/>
          <w:sz w:val="24"/>
          <w:szCs w:val="24"/>
        </w:rPr>
        <w:t>and</w:t>
      </w:r>
      <w:r w:rsidR="00CE2D7A" w:rsidRPr="00BF02A2">
        <w:rPr>
          <w:rFonts w:cstheme="minorHAnsi"/>
          <w:sz w:val="24"/>
          <w:szCs w:val="24"/>
        </w:rPr>
        <w:t xml:space="preserve"> to c</w:t>
      </w:r>
      <w:r w:rsidR="00003B3C" w:rsidRPr="00BF02A2">
        <w:rPr>
          <w:rFonts w:cstheme="minorHAnsi"/>
          <w:sz w:val="24"/>
          <w:szCs w:val="24"/>
        </w:rPr>
        <w:t xml:space="preserve">ollect </w:t>
      </w:r>
      <w:r w:rsidR="008B1B54">
        <w:rPr>
          <w:rFonts w:cstheme="minorHAnsi"/>
          <w:sz w:val="24"/>
          <w:szCs w:val="24"/>
        </w:rPr>
        <w:t>client</w:t>
      </w:r>
      <w:r w:rsidR="00003B3C" w:rsidRPr="00BF02A2">
        <w:rPr>
          <w:rFonts w:cstheme="minorHAnsi"/>
          <w:sz w:val="24"/>
          <w:szCs w:val="24"/>
        </w:rPr>
        <w:t xml:space="preserve"> and carer satisfaction </w:t>
      </w:r>
      <w:r w:rsidR="00BF6E8B" w:rsidRPr="00BF02A2">
        <w:rPr>
          <w:rFonts w:cstheme="minorHAnsi"/>
          <w:sz w:val="24"/>
          <w:szCs w:val="24"/>
        </w:rPr>
        <w:t xml:space="preserve">data </w:t>
      </w:r>
      <w:r w:rsidR="00003B3C" w:rsidRPr="00BF02A2">
        <w:rPr>
          <w:rFonts w:cstheme="minorHAnsi"/>
          <w:sz w:val="24"/>
          <w:szCs w:val="24"/>
        </w:rPr>
        <w:t xml:space="preserve">using </w:t>
      </w:r>
      <w:r w:rsidR="000D30CF" w:rsidRPr="00BF02A2">
        <w:rPr>
          <w:rFonts w:cstheme="minorHAnsi"/>
          <w:sz w:val="24"/>
          <w:szCs w:val="24"/>
        </w:rPr>
        <w:t>their</w:t>
      </w:r>
      <w:r w:rsidR="00025A44" w:rsidRPr="00BF02A2">
        <w:rPr>
          <w:rFonts w:cstheme="minorHAnsi"/>
          <w:sz w:val="24"/>
          <w:szCs w:val="24"/>
        </w:rPr>
        <w:t xml:space="preserve"> </w:t>
      </w:r>
      <w:r w:rsidR="00AA6379">
        <w:rPr>
          <w:rFonts w:cstheme="minorHAnsi"/>
          <w:sz w:val="24"/>
          <w:szCs w:val="24"/>
        </w:rPr>
        <w:t>local</w:t>
      </w:r>
      <w:r w:rsidR="00C356D3">
        <w:rPr>
          <w:rFonts w:cstheme="minorHAnsi"/>
          <w:sz w:val="24"/>
          <w:szCs w:val="24"/>
        </w:rPr>
        <w:t xml:space="preserve"> </w:t>
      </w:r>
      <w:r w:rsidR="00003B3C" w:rsidRPr="00BF02A2">
        <w:rPr>
          <w:rFonts w:cstheme="minorHAnsi"/>
          <w:sz w:val="24"/>
          <w:szCs w:val="24"/>
        </w:rPr>
        <w:t>measures.</w:t>
      </w:r>
    </w:p>
    <w:p w14:paraId="2105A885" w14:textId="431D83F2" w:rsidR="008D29F4" w:rsidRDefault="00155537" w:rsidP="00E764AA">
      <w:pPr>
        <w:pStyle w:val="ListParagraph"/>
        <w:numPr>
          <w:ilvl w:val="0"/>
          <w:numId w:val="16"/>
        </w:numPr>
        <w:spacing w:line="480" w:lineRule="auto"/>
        <w:ind w:left="360"/>
        <w:rPr>
          <w:rFonts w:cstheme="minorHAnsi"/>
          <w:sz w:val="24"/>
          <w:szCs w:val="24"/>
        </w:rPr>
      </w:pPr>
      <w:r w:rsidRPr="00BF02A2">
        <w:rPr>
          <w:rFonts w:cstheme="minorHAnsi"/>
          <w:sz w:val="24"/>
          <w:szCs w:val="24"/>
        </w:rPr>
        <w:t>C</w:t>
      </w:r>
      <w:r w:rsidR="001B0E8E" w:rsidRPr="00BF02A2">
        <w:rPr>
          <w:rFonts w:cstheme="minorHAnsi"/>
          <w:sz w:val="24"/>
          <w:szCs w:val="24"/>
        </w:rPr>
        <w:t xml:space="preserve">riteria for </w:t>
      </w:r>
      <w:r w:rsidR="00A90AD9">
        <w:rPr>
          <w:rFonts w:cstheme="minorHAnsi"/>
          <w:sz w:val="24"/>
          <w:szCs w:val="24"/>
        </w:rPr>
        <w:t xml:space="preserve">defining and </w:t>
      </w:r>
      <w:r w:rsidR="002C35A9">
        <w:rPr>
          <w:rFonts w:cstheme="minorHAnsi"/>
          <w:sz w:val="24"/>
          <w:szCs w:val="24"/>
        </w:rPr>
        <w:t xml:space="preserve">prioritising </w:t>
      </w:r>
      <w:r w:rsidR="000A5467" w:rsidRPr="00BF02A2">
        <w:rPr>
          <w:rFonts w:cstheme="minorHAnsi"/>
          <w:sz w:val="24"/>
          <w:szCs w:val="24"/>
        </w:rPr>
        <w:t>‘emergency’</w:t>
      </w:r>
      <w:r w:rsidR="00F264EF" w:rsidRPr="00BF02A2">
        <w:rPr>
          <w:rFonts w:cstheme="minorHAnsi"/>
          <w:sz w:val="24"/>
          <w:szCs w:val="24"/>
        </w:rPr>
        <w:t>, ‘urgent’ and ‘routine’ referrals</w:t>
      </w:r>
      <w:r w:rsidRPr="00BF02A2">
        <w:rPr>
          <w:rFonts w:cstheme="minorHAnsi"/>
          <w:sz w:val="24"/>
          <w:szCs w:val="24"/>
        </w:rPr>
        <w:t xml:space="preserve"> were </w:t>
      </w:r>
      <w:r w:rsidR="00600485">
        <w:rPr>
          <w:rFonts w:cstheme="minorHAnsi"/>
          <w:sz w:val="24"/>
          <w:szCs w:val="24"/>
        </w:rPr>
        <w:t>agreed</w:t>
      </w:r>
      <w:r w:rsidR="00277AAC" w:rsidRPr="00BF02A2">
        <w:rPr>
          <w:rFonts w:cstheme="minorHAnsi"/>
          <w:sz w:val="24"/>
          <w:szCs w:val="24"/>
        </w:rPr>
        <w:t xml:space="preserve">: </w:t>
      </w:r>
    </w:p>
    <w:p w14:paraId="6BDCA3F4" w14:textId="3DF800F4" w:rsidR="00DC6F13" w:rsidRPr="00B02768" w:rsidRDefault="00277AAC" w:rsidP="007066DA">
      <w:pPr>
        <w:pStyle w:val="ListParagraph"/>
        <w:numPr>
          <w:ilvl w:val="1"/>
          <w:numId w:val="16"/>
        </w:numPr>
        <w:spacing w:line="480" w:lineRule="auto"/>
        <w:rPr>
          <w:rFonts w:cstheme="minorHAnsi"/>
          <w:sz w:val="24"/>
          <w:szCs w:val="24"/>
        </w:rPr>
      </w:pPr>
      <w:r w:rsidRPr="00B02768">
        <w:rPr>
          <w:rFonts w:cstheme="minorHAnsi"/>
          <w:sz w:val="24"/>
          <w:szCs w:val="24"/>
        </w:rPr>
        <w:t>‘emergency’</w:t>
      </w:r>
      <w:r w:rsidR="00B63C7F">
        <w:rPr>
          <w:rFonts w:cstheme="minorHAnsi"/>
          <w:sz w:val="24"/>
          <w:szCs w:val="24"/>
        </w:rPr>
        <w:t xml:space="preserve"> referrals </w:t>
      </w:r>
      <w:r w:rsidR="00B63C7F" w:rsidRPr="007F4F71">
        <w:rPr>
          <w:rFonts w:cstheme="minorHAnsi"/>
          <w:sz w:val="24"/>
          <w:szCs w:val="24"/>
        </w:rPr>
        <w:t>required</w:t>
      </w:r>
      <w:r w:rsidR="00B63C7F" w:rsidRPr="001222A7">
        <w:rPr>
          <w:rFonts w:cstheme="minorHAnsi"/>
          <w:sz w:val="24"/>
          <w:szCs w:val="24"/>
        </w:rPr>
        <w:t xml:space="preserve"> admission</w:t>
      </w:r>
      <w:r w:rsidR="00F639D6">
        <w:rPr>
          <w:rFonts w:cstheme="minorHAnsi"/>
          <w:sz w:val="24"/>
          <w:szCs w:val="24"/>
        </w:rPr>
        <w:t>s</w:t>
      </w:r>
      <w:r w:rsidR="00B63C7F" w:rsidRPr="001222A7">
        <w:rPr>
          <w:rFonts w:cstheme="minorHAnsi"/>
          <w:sz w:val="24"/>
          <w:szCs w:val="24"/>
        </w:rPr>
        <w:t xml:space="preserve"> within 24 hours</w:t>
      </w:r>
      <w:r w:rsidR="00215B64" w:rsidRPr="0002321D">
        <w:rPr>
          <w:rFonts w:cstheme="minorHAnsi"/>
          <w:sz w:val="24"/>
          <w:szCs w:val="24"/>
        </w:rPr>
        <w:t xml:space="preserve"> to acute medical/psychiatric settings or inpatient ED bed</w:t>
      </w:r>
      <w:r w:rsidR="00F639D6">
        <w:rPr>
          <w:rFonts w:cstheme="minorHAnsi"/>
          <w:sz w:val="24"/>
          <w:szCs w:val="24"/>
        </w:rPr>
        <w:t>s</w:t>
      </w:r>
      <w:r w:rsidR="00153C55" w:rsidRPr="00B02768">
        <w:rPr>
          <w:rFonts w:cstheme="minorHAnsi"/>
          <w:sz w:val="24"/>
          <w:szCs w:val="24"/>
        </w:rPr>
        <w:t xml:space="preserve"> </w:t>
      </w:r>
      <w:r w:rsidR="00DC6F13" w:rsidRPr="00B02768">
        <w:rPr>
          <w:rFonts w:cstheme="minorHAnsi"/>
          <w:sz w:val="24"/>
          <w:szCs w:val="24"/>
        </w:rPr>
        <w:t>when</w:t>
      </w:r>
      <w:r w:rsidR="007F4F71">
        <w:rPr>
          <w:rFonts w:cstheme="minorHAnsi"/>
          <w:sz w:val="24"/>
          <w:szCs w:val="24"/>
        </w:rPr>
        <w:t xml:space="preserve"> clients had </w:t>
      </w:r>
      <w:r w:rsidR="00DC6F13" w:rsidRPr="007F4F71">
        <w:rPr>
          <w:rFonts w:cstheme="minorHAnsi"/>
          <w:sz w:val="24"/>
          <w:szCs w:val="24"/>
        </w:rPr>
        <w:t>acute physical or mental health emergencies that constitute</w:t>
      </w:r>
      <w:r w:rsidR="007F4F71">
        <w:rPr>
          <w:rFonts w:cstheme="minorHAnsi"/>
          <w:sz w:val="24"/>
          <w:szCs w:val="24"/>
        </w:rPr>
        <w:t>d</w:t>
      </w:r>
      <w:r w:rsidR="00DC6F13" w:rsidRPr="007F4F71">
        <w:rPr>
          <w:rFonts w:cstheme="minorHAnsi"/>
          <w:sz w:val="24"/>
          <w:szCs w:val="24"/>
        </w:rPr>
        <w:t xml:space="preserve"> imminent threat</w:t>
      </w:r>
      <w:r w:rsidR="005365F2">
        <w:rPr>
          <w:rFonts w:cstheme="minorHAnsi"/>
          <w:sz w:val="24"/>
          <w:szCs w:val="24"/>
        </w:rPr>
        <w:t>s</w:t>
      </w:r>
      <w:r w:rsidR="00DC6F13" w:rsidRPr="007F4F71">
        <w:rPr>
          <w:rFonts w:cstheme="minorHAnsi"/>
          <w:sz w:val="24"/>
          <w:szCs w:val="24"/>
        </w:rPr>
        <w:t xml:space="preserve"> to life</w:t>
      </w:r>
      <w:r w:rsidR="00215B64">
        <w:rPr>
          <w:rFonts w:cstheme="minorHAnsi"/>
          <w:sz w:val="24"/>
          <w:szCs w:val="24"/>
        </w:rPr>
        <w:t xml:space="preserve">. </w:t>
      </w:r>
      <w:r w:rsidR="00961352" w:rsidRPr="00961352">
        <w:rPr>
          <w:rFonts w:cstheme="minorHAnsi"/>
          <w:sz w:val="24"/>
          <w:szCs w:val="24"/>
        </w:rPr>
        <w:t>This included clients with high risk and treatment refusal needing M</w:t>
      </w:r>
      <w:r w:rsidR="00961352">
        <w:rPr>
          <w:rFonts w:cstheme="minorHAnsi"/>
          <w:sz w:val="24"/>
          <w:szCs w:val="24"/>
        </w:rPr>
        <w:t xml:space="preserve">ental Health Act </w:t>
      </w:r>
      <w:r w:rsidR="001D6C45">
        <w:rPr>
          <w:rFonts w:cstheme="minorHAnsi"/>
          <w:sz w:val="24"/>
          <w:szCs w:val="24"/>
        </w:rPr>
        <w:t>(</w:t>
      </w:r>
      <w:r w:rsidR="0069227B">
        <w:rPr>
          <w:rFonts w:cstheme="minorHAnsi"/>
          <w:sz w:val="24"/>
          <w:szCs w:val="24"/>
        </w:rPr>
        <w:t>Department of Health</w:t>
      </w:r>
      <w:r w:rsidR="005E32DF">
        <w:rPr>
          <w:rFonts w:cstheme="minorHAnsi"/>
          <w:sz w:val="24"/>
          <w:szCs w:val="24"/>
        </w:rPr>
        <w:t>, DoH</w:t>
      </w:r>
      <w:r w:rsidR="0069227B">
        <w:rPr>
          <w:rFonts w:cstheme="minorHAnsi"/>
          <w:sz w:val="24"/>
          <w:szCs w:val="24"/>
        </w:rPr>
        <w:t>,</w:t>
      </w:r>
      <w:r w:rsidR="00853C2E">
        <w:rPr>
          <w:rFonts w:cstheme="minorHAnsi"/>
          <w:sz w:val="24"/>
          <w:szCs w:val="24"/>
        </w:rPr>
        <w:t xml:space="preserve"> </w:t>
      </w:r>
      <w:r w:rsidR="001D6C45">
        <w:rPr>
          <w:rFonts w:cstheme="minorHAnsi"/>
          <w:sz w:val="24"/>
          <w:szCs w:val="24"/>
        </w:rPr>
        <w:t xml:space="preserve">2007) </w:t>
      </w:r>
      <w:r w:rsidR="00961352" w:rsidRPr="00961352">
        <w:rPr>
          <w:rFonts w:cstheme="minorHAnsi"/>
          <w:sz w:val="24"/>
          <w:szCs w:val="24"/>
        </w:rPr>
        <w:t>assessments or recalls from Community Treatment Orders</w:t>
      </w:r>
      <w:r w:rsidR="00A15B04">
        <w:rPr>
          <w:rFonts w:cstheme="minorHAnsi"/>
          <w:sz w:val="24"/>
          <w:szCs w:val="24"/>
        </w:rPr>
        <w:t xml:space="preserve"> (</w:t>
      </w:r>
      <w:r w:rsidR="005537FC">
        <w:rPr>
          <w:rFonts w:cstheme="minorHAnsi"/>
          <w:sz w:val="24"/>
          <w:szCs w:val="24"/>
        </w:rPr>
        <w:t xml:space="preserve">CTOs, </w:t>
      </w:r>
      <w:r w:rsidR="00A15B04">
        <w:rPr>
          <w:rFonts w:cstheme="minorHAnsi"/>
          <w:sz w:val="24"/>
          <w:szCs w:val="24"/>
        </w:rPr>
        <w:t>DoH, 2007)</w:t>
      </w:r>
      <w:r w:rsidR="00631455">
        <w:rPr>
          <w:rFonts w:cstheme="minorHAnsi"/>
          <w:sz w:val="24"/>
          <w:szCs w:val="24"/>
        </w:rPr>
        <w:t xml:space="preserve">. </w:t>
      </w:r>
      <w:r w:rsidR="003D66DD" w:rsidRPr="00961352">
        <w:rPr>
          <w:rFonts w:cstheme="minorHAnsi"/>
          <w:sz w:val="24"/>
          <w:szCs w:val="24"/>
        </w:rPr>
        <w:t xml:space="preserve">An </w:t>
      </w:r>
      <w:r w:rsidR="00345E81">
        <w:rPr>
          <w:rFonts w:cstheme="minorHAnsi"/>
          <w:sz w:val="24"/>
          <w:szCs w:val="24"/>
        </w:rPr>
        <w:t>ED</w:t>
      </w:r>
      <w:r w:rsidR="00DC6F13" w:rsidRPr="00961352">
        <w:rPr>
          <w:rFonts w:cstheme="minorHAnsi"/>
          <w:sz w:val="24"/>
          <w:szCs w:val="24"/>
        </w:rPr>
        <w:t xml:space="preserve"> and one or more physical health risk factors </w:t>
      </w:r>
      <w:r w:rsidR="00CC29B9">
        <w:rPr>
          <w:rFonts w:cstheme="minorHAnsi"/>
          <w:sz w:val="24"/>
          <w:szCs w:val="24"/>
        </w:rPr>
        <w:t xml:space="preserve">as </w:t>
      </w:r>
      <w:r w:rsidR="00DC6F13" w:rsidRPr="00961352">
        <w:rPr>
          <w:rFonts w:cstheme="minorHAnsi"/>
          <w:sz w:val="24"/>
          <w:szCs w:val="24"/>
        </w:rPr>
        <w:t>defined by the MARSIPAN Checklist</w:t>
      </w:r>
      <w:r w:rsidR="0095441D">
        <w:rPr>
          <w:rFonts w:cstheme="minorHAnsi"/>
          <w:sz w:val="24"/>
          <w:szCs w:val="24"/>
        </w:rPr>
        <w:t xml:space="preserve"> (Royal College of </w:t>
      </w:r>
      <w:r w:rsidR="00197509">
        <w:rPr>
          <w:rFonts w:cstheme="minorHAnsi"/>
          <w:sz w:val="24"/>
          <w:szCs w:val="24"/>
        </w:rPr>
        <w:t>Psychiatry,</w:t>
      </w:r>
      <w:r w:rsidR="0095441D">
        <w:rPr>
          <w:rFonts w:cstheme="minorHAnsi"/>
          <w:sz w:val="24"/>
          <w:szCs w:val="24"/>
        </w:rPr>
        <w:t xml:space="preserve"> 2015)</w:t>
      </w:r>
      <w:r w:rsidR="00197509">
        <w:rPr>
          <w:rFonts w:cstheme="minorHAnsi"/>
          <w:sz w:val="24"/>
          <w:szCs w:val="24"/>
        </w:rPr>
        <w:t xml:space="preserve"> </w:t>
      </w:r>
      <w:r w:rsidR="00802FCE" w:rsidRPr="00631455">
        <w:rPr>
          <w:rFonts w:cstheme="minorHAnsi"/>
          <w:sz w:val="24"/>
          <w:szCs w:val="24"/>
        </w:rPr>
        <w:t xml:space="preserve"> </w:t>
      </w:r>
      <w:r w:rsidR="005837FE">
        <w:rPr>
          <w:rFonts w:cstheme="minorHAnsi"/>
          <w:sz w:val="24"/>
          <w:szCs w:val="24"/>
        </w:rPr>
        <w:t xml:space="preserve">had to be </w:t>
      </w:r>
      <w:r w:rsidR="00802FCE" w:rsidRPr="00631455">
        <w:rPr>
          <w:rFonts w:cstheme="minorHAnsi"/>
          <w:sz w:val="24"/>
          <w:szCs w:val="24"/>
        </w:rPr>
        <w:t>present</w:t>
      </w:r>
      <w:r w:rsidR="00405FC1" w:rsidRPr="00631455">
        <w:rPr>
          <w:rFonts w:cstheme="minorHAnsi"/>
          <w:sz w:val="24"/>
          <w:szCs w:val="24"/>
        </w:rPr>
        <w:t xml:space="preserve"> (e.g. </w:t>
      </w:r>
      <w:r w:rsidR="00D5032E" w:rsidRPr="00631455">
        <w:rPr>
          <w:rFonts w:cstheme="minorHAnsi"/>
          <w:sz w:val="24"/>
          <w:szCs w:val="24"/>
        </w:rPr>
        <w:t>B</w:t>
      </w:r>
      <w:r w:rsidR="00DC6F13" w:rsidRPr="00631455">
        <w:rPr>
          <w:rFonts w:cstheme="minorHAnsi"/>
          <w:sz w:val="24"/>
          <w:szCs w:val="24"/>
        </w:rPr>
        <w:t>MI &lt;13</w:t>
      </w:r>
      <w:r w:rsidR="00AA3BCE" w:rsidRPr="00631455">
        <w:rPr>
          <w:rFonts w:cstheme="minorHAnsi"/>
          <w:sz w:val="24"/>
          <w:szCs w:val="24"/>
        </w:rPr>
        <w:t>; r</w:t>
      </w:r>
      <w:r w:rsidR="00DC6F13" w:rsidRPr="001222A7">
        <w:rPr>
          <w:rFonts w:cstheme="minorHAnsi"/>
          <w:sz w:val="24"/>
          <w:szCs w:val="24"/>
        </w:rPr>
        <w:t xml:space="preserve">ecent </w:t>
      </w:r>
      <w:r w:rsidR="001222A7">
        <w:rPr>
          <w:rFonts w:cstheme="minorHAnsi"/>
          <w:sz w:val="24"/>
          <w:szCs w:val="24"/>
        </w:rPr>
        <w:t xml:space="preserve">weight </w:t>
      </w:r>
      <w:r w:rsidR="00DC6F13" w:rsidRPr="001222A7">
        <w:rPr>
          <w:rFonts w:cstheme="minorHAnsi"/>
          <w:sz w:val="24"/>
          <w:szCs w:val="24"/>
        </w:rPr>
        <w:t>loss of ≥1 kg for two consecutive weeks</w:t>
      </w:r>
      <w:r w:rsidR="00AA3BCE" w:rsidRPr="001222A7">
        <w:rPr>
          <w:rFonts w:cstheme="minorHAnsi"/>
          <w:sz w:val="24"/>
          <w:szCs w:val="24"/>
        </w:rPr>
        <w:t>, l</w:t>
      </w:r>
      <w:r w:rsidR="00AA3BCE" w:rsidRPr="0002321D">
        <w:rPr>
          <w:rFonts w:cstheme="minorHAnsi"/>
          <w:sz w:val="24"/>
          <w:szCs w:val="24"/>
        </w:rPr>
        <w:t>i</w:t>
      </w:r>
      <w:r w:rsidR="00DC6F13" w:rsidRPr="0002321D">
        <w:rPr>
          <w:rFonts w:cstheme="minorHAnsi"/>
          <w:sz w:val="24"/>
          <w:szCs w:val="24"/>
        </w:rPr>
        <w:t>ttle or no nutrition for &gt;5 days</w:t>
      </w:r>
      <w:r w:rsidR="00AA3BCE" w:rsidRPr="0002321D">
        <w:rPr>
          <w:rFonts w:cstheme="minorHAnsi"/>
          <w:sz w:val="24"/>
          <w:szCs w:val="24"/>
        </w:rPr>
        <w:t>; a</w:t>
      </w:r>
      <w:r w:rsidR="00DC6F13" w:rsidRPr="0002321D">
        <w:rPr>
          <w:rFonts w:cstheme="minorHAnsi"/>
          <w:sz w:val="24"/>
          <w:szCs w:val="24"/>
        </w:rPr>
        <w:t>cute food refusal or &lt;500 kcal/day for more than a week</w:t>
      </w:r>
      <w:r w:rsidR="00AA3BCE" w:rsidRPr="0002321D">
        <w:rPr>
          <w:rFonts w:cstheme="minorHAnsi"/>
          <w:sz w:val="24"/>
          <w:szCs w:val="24"/>
        </w:rPr>
        <w:t xml:space="preserve">; </w:t>
      </w:r>
      <w:r w:rsidR="004F7971" w:rsidRPr="0002321D">
        <w:rPr>
          <w:rFonts w:cstheme="minorHAnsi"/>
          <w:sz w:val="24"/>
          <w:szCs w:val="24"/>
        </w:rPr>
        <w:t>p</w:t>
      </w:r>
      <w:r w:rsidR="00DC6F13" w:rsidRPr="0002321D">
        <w:rPr>
          <w:rFonts w:cstheme="minorHAnsi"/>
          <w:sz w:val="24"/>
          <w:szCs w:val="24"/>
        </w:rPr>
        <w:t>ulse &lt;40</w:t>
      </w:r>
      <w:r w:rsidR="004F7971" w:rsidRPr="0002321D">
        <w:rPr>
          <w:rFonts w:cstheme="minorHAnsi"/>
          <w:sz w:val="24"/>
          <w:szCs w:val="24"/>
        </w:rPr>
        <w:t xml:space="preserve">; </w:t>
      </w:r>
      <w:r w:rsidR="001D6C45">
        <w:rPr>
          <w:rFonts w:cstheme="minorHAnsi"/>
          <w:sz w:val="24"/>
          <w:szCs w:val="24"/>
        </w:rPr>
        <w:t xml:space="preserve">low </w:t>
      </w:r>
      <w:r w:rsidR="004F7971" w:rsidRPr="0002321D">
        <w:rPr>
          <w:rFonts w:cstheme="minorHAnsi"/>
          <w:sz w:val="24"/>
          <w:szCs w:val="24"/>
        </w:rPr>
        <w:t xml:space="preserve">blood pressure </w:t>
      </w:r>
      <w:r w:rsidR="00DC6F13" w:rsidRPr="0002321D">
        <w:rPr>
          <w:rFonts w:cstheme="minorHAnsi"/>
          <w:sz w:val="24"/>
          <w:szCs w:val="24"/>
        </w:rPr>
        <w:t>with postural dizziness</w:t>
      </w:r>
      <w:r w:rsidR="004F7971" w:rsidRPr="0002321D">
        <w:rPr>
          <w:rFonts w:cstheme="minorHAnsi"/>
          <w:sz w:val="24"/>
          <w:szCs w:val="24"/>
        </w:rPr>
        <w:t>; c</w:t>
      </w:r>
      <w:r w:rsidR="00DC6F13" w:rsidRPr="0002321D">
        <w:rPr>
          <w:rFonts w:cstheme="minorHAnsi"/>
          <w:sz w:val="24"/>
          <w:szCs w:val="24"/>
        </w:rPr>
        <w:t>ore temperature &lt;35°C</w:t>
      </w:r>
      <w:r w:rsidR="004F7971" w:rsidRPr="0002321D">
        <w:rPr>
          <w:rFonts w:cstheme="minorHAnsi"/>
          <w:sz w:val="24"/>
          <w:szCs w:val="24"/>
        </w:rPr>
        <w:t xml:space="preserve">; </w:t>
      </w:r>
      <w:r w:rsidR="00EB513A" w:rsidRPr="0002321D">
        <w:rPr>
          <w:rFonts w:cstheme="minorHAnsi"/>
          <w:sz w:val="24"/>
          <w:szCs w:val="24"/>
        </w:rPr>
        <w:t xml:space="preserve">sodium (Na) </w:t>
      </w:r>
      <w:r w:rsidR="00DC6F13" w:rsidRPr="0002321D">
        <w:rPr>
          <w:rFonts w:cstheme="minorHAnsi"/>
          <w:sz w:val="24"/>
          <w:szCs w:val="24"/>
        </w:rPr>
        <w:t>&lt;130 mmol/L</w:t>
      </w:r>
      <w:r w:rsidR="00BF592B" w:rsidRPr="0002321D">
        <w:rPr>
          <w:rFonts w:cstheme="minorHAnsi"/>
          <w:sz w:val="24"/>
          <w:szCs w:val="24"/>
        </w:rPr>
        <w:t xml:space="preserve">; </w:t>
      </w:r>
      <w:r w:rsidR="008F7062" w:rsidRPr="0002321D">
        <w:rPr>
          <w:rFonts w:cstheme="minorHAnsi"/>
          <w:sz w:val="24"/>
          <w:szCs w:val="24"/>
        </w:rPr>
        <w:t xml:space="preserve">potassium </w:t>
      </w:r>
      <w:r w:rsidR="00EB513A" w:rsidRPr="0002321D">
        <w:rPr>
          <w:rFonts w:cstheme="minorHAnsi"/>
          <w:sz w:val="24"/>
          <w:szCs w:val="24"/>
        </w:rPr>
        <w:t>(K)</w:t>
      </w:r>
      <w:r w:rsidR="00DC6F13" w:rsidRPr="0002321D">
        <w:rPr>
          <w:rFonts w:cstheme="minorHAnsi"/>
          <w:sz w:val="24"/>
          <w:szCs w:val="24"/>
        </w:rPr>
        <w:t xml:space="preserve"> &lt;3.0 mmol/L</w:t>
      </w:r>
      <w:r w:rsidR="00BF592B" w:rsidRPr="0002321D">
        <w:rPr>
          <w:rFonts w:cstheme="minorHAnsi"/>
          <w:sz w:val="24"/>
          <w:szCs w:val="24"/>
        </w:rPr>
        <w:t>; r</w:t>
      </w:r>
      <w:r w:rsidR="00DC6F13" w:rsidRPr="0002321D">
        <w:rPr>
          <w:rFonts w:cstheme="minorHAnsi"/>
          <w:sz w:val="24"/>
          <w:szCs w:val="24"/>
        </w:rPr>
        <w:t>aised transaminase</w:t>
      </w:r>
      <w:r w:rsidR="00BF592B" w:rsidRPr="0002321D">
        <w:rPr>
          <w:rFonts w:cstheme="minorHAnsi"/>
          <w:sz w:val="24"/>
          <w:szCs w:val="24"/>
        </w:rPr>
        <w:t>; g</w:t>
      </w:r>
      <w:r w:rsidR="00DC6F13" w:rsidRPr="0002321D">
        <w:rPr>
          <w:rFonts w:cstheme="minorHAnsi"/>
          <w:sz w:val="24"/>
          <w:szCs w:val="24"/>
        </w:rPr>
        <w:t>lucose &lt;3 mmol/L</w:t>
      </w:r>
      <w:r w:rsidR="00BF592B" w:rsidRPr="0002321D">
        <w:rPr>
          <w:rFonts w:cstheme="minorHAnsi"/>
          <w:sz w:val="24"/>
          <w:szCs w:val="24"/>
        </w:rPr>
        <w:t>; r</w:t>
      </w:r>
      <w:r w:rsidR="00DC6F13" w:rsidRPr="0002321D">
        <w:rPr>
          <w:rFonts w:cstheme="minorHAnsi"/>
          <w:sz w:val="24"/>
          <w:szCs w:val="24"/>
        </w:rPr>
        <w:t>aised urea or creatinine</w:t>
      </w:r>
      <w:r w:rsidR="000A75FE" w:rsidRPr="0002321D">
        <w:rPr>
          <w:rFonts w:cstheme="minorHAnsi"/>
          <w:sz w:val="24"/>
          <w:szCs w:val="24"/>
        </w:rPr>
        <w:t xml:space="preserve">; </w:t>
      </w:r>
      <w:r w:rsidR="00DC6F13" w:rsidRPr="0002321D">
        <w:rPr>
          <w:rFonts w:cstheme="minorHAnsi"/>
          <w:sz w:val="24"/>
          <w:szCs w:val="24"/>
        </w:rPr>
        <w:t>bradycardia</w:t>
      </w:r>
      <w:r w:rsidR="00D95F48" w:rsidRPr="0002321D">
        <w:rPr>
          <w:rFonts w:cstheme="minorHAnsi"/>
          <w:sz w:val="24"/>
          <w:szCs w:val="24"/>
        </w:rPr>
        <w:t xml:space="preserve">. </w:t>
      </w:r>
    </w:p>
    <w:p w14:paraId="610CC0FE" w14:textId="0403D487" w:rsidR="008D29F4" w:rsidRPr="004212CA" w:rsidRDefault="00F264EF" w:rsidP="004212CA">
      <w:pPr>
        <w:pStyle w:val="ListParagraph"/>
        <w:numPr>
          <w:ilvl w:val="1"/>
          <w:numId w:val="16"/>
        </w:numPr>
        <w:spacing w:line="480" w:lineRule="auto"/>
        <w:rPr>
          <w:rFonts w:cstheme="minorHAnsi"/>
          <w:sz w:val="24"/>
          <w:szCs w:val="24"/>
        </w:rPr>
      </w:pPr>
      <w:r w:rsidRPr="004212CA">
        <w:rPr>
          <w:rFonts w:cstheme="minorHAnsi"/>
          <w:sz w:val="24"/>
          <w:szCs w:val="24"/>
        </w:rPr>
        <w:t>‘</w:t>
      </w:r>
      <w:r w:rsidR="000A5467" w:rsidRPr="004212CA">
        <w:rPr>
          <w:rFonts w:cstheme="minorHAnsi"/>
          <w:sz w:val="24"/>
          <w:szCs w:val="24"/>
        </w:rPr>
        <w:t>urgent</w:t>
      </w:r>
      <w:r w:rsidRPr="004212CA">
        <w:rPr>
          <w:rFonts w:cstheme="minorHAnsi"/>
          <w:sz w:val="24"/>
          <w:szCs w:val="24"/>
        </w:rPr>
        <w:t>’</w:t>
      </w:r>
      <w:r w:rsidR="00A76038" w:rsidRPr="004212CA">
        <w:rPr>
          <w:rFonts w:cstheme="minorHAnsi"/>
          <w:sz w:val="24"/>
          <w:szCs w:val="24"/>
        </w:rPr>
        <w:t xml:space="preserve"> </w:t>
      </w:r>
      <w:r w:rsidR="00BD431A">
        <w:rPr>
          <w:rFonts w:cstheme="minorHAnsi"/>
          <w:sz w:val="24"/>
          <w:szCs w:val="24"/>
        </w:rPr>
        <w:t xml:space="preserve">referrals required </w:t>
      </w:r>
      <w:r w:rsidR="004F0C79" w:rsidRPr="004212CA">
        <w:rPr>
          <w:rFonts w:cstheme="minorHAnsi"/>
          <w:sz w:val="24"/>
          <w:szCs w:val="24"/>
        </w:rPr>
        <w:t>admission</w:t>
      </w:r>
      <w:r w:rsidR="00CC29B9">
        <w:rPr>
          <w:rFonts w:cstheme="minorHAnsi"/>
          <w:sz w:val="24"/>
          <w:szCs w:val="24"/>
        </w:rPr>
        <w:t>s</w:t>
      </w:r>
      <w:r w:rsidR="004F0C79" w:rsidRPr="004212CA">
        <w:rPr>
          <w:rFonts w:cstheme="minorHAnsi"/>
          <w:sz w:val="24"/>
          <w:szCs w:val="24"/>
        </w:rPr>
        <w:t xml:space="preserve"> within 1 week </w:t>
      </w:r>
      <w:r w:rsidR="00694929" w:rsidRPr="004212CA">
        <w:rPr>
          <w:rFonts w:cstheme="minorHAnsi"/>
          <w:sz w:val="24"/>
          <w:szCs w:val="24"/>
        </w:rPr>
        <w:t>i.e. cl</w:t>
      </w:r>
      <w:r w:rsidR="00F77291" w:rsidRPr="004212CA">
        <w:rPr>
          <w:rFonts w:cstheme="minorHAnsi"/>
          <w:sz w:val="24"/>
          <w:szCs w:val="24"/>
        </w:rPr>
        <w:t>ient</w:t>
      </w:r>
      <w:r w:rsidR="00CC29B9">
        <w:rPr>
          <w:rFonts w:cstheme="minorHAnsi"/>
          <w:sz w:val="24"/>
          <w:szCs w:val="24"/>
        </w:rPr>
        <w:t>s</w:t>
      </w:r>
      <w:r w:rsidR="00F77291" w:rsidRPr="004212CA">
        <w:rPr>
          <w:rFonts w:cstheme="minorHAnsi"/>
          <w:sz w:val="24"/>
          <w:szCs w:val="24"/>
        </w:rPr>
        <w:t xml:space="preserve"> </w:t>
      </w:r>
      <w:r w:rsidR="00CC29B9">
        <w:rPr>
          <w:rFonts w:cstheme="minorHAnsi"/>
          <w:sz w:val="24"/>
          <w:szCs w:val="24"/>
        </w:rPr>
        <w:t xml:space="preserve">with anorexia nervosa </w:t>
      </w:r>
      <w:r w:rsidR="005B48DD">
        <w:rPr>
          <w:rFonts w:cstheme="minorHAnsi"/>
          <w:sz w:val="24"/>
          <w:szCs w:val="24"/>
        </w:rPr>
        <w:t xml:space="preserve">(AN) </w:t>
      </w:r>
      <w:r w:rsidR="00CC29B9">
        <w:rPr>
          <w:rFonts w:cstheme="minorHAnsi"/>
          <w:sz w:val="24"/>
          <w:szCs w:val="24"/>
        </w:rPr>
        <w:t xml:space="preserve">and </w:t>
      </w:r>
      <w:r w:rsidR="00F77291" w:rsidRPr="004212CA">
        <w:rPr>
          <w:rFonts w:cstheme="minorHAnsi"/>
          <w:sz w:val="24"/>
          <w:szCs w:val="24"/>
        </w:rPr>
        <w:t xml:space="preserve">BMI </w:t>
      </w:r>
      <w:r w:rsidR="00CC29B9" w:rsidRPr="00BF02A2">
        <w:rPr>
          <w:rFonts w:cstheme="minorHAnsi"/>
          <w:sz w:val="24"/>
          <w:szCs w:val="24"/>
        </w:rPr>
        <w:t xml:space="preserve"> &lt;</w:t>
      </w:r>
      <w:r w:rsidR="00F77291" w:rsidRPr="004212CA">
        <w:rPr>
          <w:rFonts w:cstheme="minorHAnsi"/>
          <w:sz w:val="24"/>
          <w:szCs w:val="24"/>
        </w:rPr>
        <w:t>15 (as per MARSIPAN</w:t>
      </w:r>
      <w:r w:rsidR="00197509">
        <w:rPr>
          <w:rFonts w:cstheme="minorHAnsi"/>
          <w:sz w:val="24"/>
          <w:szCs w:val="24"/>
        </w:rPr>
        <w:t xml:space="preserve"> checklist</w:t>
      </w:r>
      <w:r w:rsidR="00F77291" w:rsidRPr="004212CA">
        <w:rPr>
          <w:rFonts w:cstheme="minorHAnsi"/>
          <w:sz w:val="24"/>
          <w:szCs w:val="24"/>
        </w:rPr>
        <w:t xml:space="preserve">) </w:t>
      </w:r>
      <w:r w:rsidR="0099786C">
        <w:rPr>
          <w:rFonts w:cstheme="minorHAnsi"/>
          <w:sz w:val="24"/>
          <w:szCs w:val="24"/>
        </w:rPr>
        <w:t>plus</w:t>
      </w:r>
      <w:r w:rsidR="00F77291" w:rsidRPr="004212CA">
        <w:rPr>
          <w:rFonts w:cstheme="minorHAnsi"/>
          <w:sz w:val="24"/>
          <w:szCs w:val="24"/>
        </w:rPr>
        <w:t xml:space="preserve"> one or more of the following:</w:t>
      </w:r>
      <w:r w:rsidR="00245751" w:rsidRPr="004212CA">
        <w:rPr>
          <w:rFonts w:cstheme="minorHAnsi"/>
          <w:sz w:val="24"/>
          <w:szCs w:val="24"/>
        </w:rPr>
        <w:t xml:space="preserve"> </w:t>
      </w:r>
      <w:r w:rsidR="001D6C45">
        <w:rPr>
          <w:rFonts w:cstheme="minorHAnsi"/>
          <w:sz w:val="24"/>
          <w:szCs w:val="24"/>
        </w:rPr>
        <w:t xml:space="preserve">lack of capacity or </w:t>
      </w:r>
      <w:r w:rsidR="00245751" w:rsidRPr="004212CA">
        <w:rPr>
          <w:rFonts w:cstheme="minorHAnsi"/>
          <w:sz w:val="24"/>
          <w:szCs w:val="24"/>
        </w:rPr>
        <w:t>i</w:t>
      </w:r>
      <w:r w:rsidR="00F77291" w:rsidRPr="004212CA">
        <w:rPr>
          <w:rFonts w:cstheme="minorHAnsi"/>
          <w:sz w:val="24"/>
          <w:szCs w:val="24"/>
        </w:rPr>
        <w:t xml:space="preserve">nability to engage with </w:t>
      </w:r>
      <w:r w:rsidR="001D6C45">
        <w:rPr>
          <w:rFonts w:cstheme="minorHAnsi"/>
          <w:sz w:val="24"/>
          <w:szCs w:val="24"/>
        </w:rPr>
        <w:t>or respond</w:t>
      </w:r>
      <w:r w:rsidR="00F77291" w:rsidRPr="004212CA">
        <w:rPr>
          <w:rFonts w:cstheme="minorHAnsi"/>
          <w:sz w:val="24"/>
          <w:szCs w:val="24"/>
        </w:rPr>
        <w:t xml:space="preserve"> to community interventions</w:t>
      </w:r>
      <w:r w:rsidR="00245751" w:rsidRPr="004212CA">
        <w:rPr>
          <w:rFonts w:cstheme="minorHAnsi"/>
          <w:sz w:val="24"/>
          <w:szCs w:val="24"/>
        </w:rPr>
        <w:t>; c</w:t>
      </w:r>
      <w:r w:rsidR="00F77291" w:rsidRPr="004212CA">
        <w:rPr>
          <w:rFonts w:cstheme="minorHAnsi"/>
          <w:sz w:val="24"/>
          <w:szCs w:val="24"/>
        </w:rPr>
        <w:t>onsistent weight loss despite outpatient/day treatment (e.g. 0.5 – 1 kg per week)</w:t>
      </w:r>
      <w:r w:rsidR="00245751" w:rsidRPr="004212CA">
        <w:rPr>
          <w:rFonts w:cstheme="minorHAnsi"/>
          <w:sz w:val="24"/>
          <w:szCs w:val="24"/>
        </w:rPr>
        <w:t>; s</w:t>
      </w:r>
      <w:r w:rsidR="00F77291" w:rsidRPr="004212CA">
        <w:rPr>
          <w:rFonts w:cstheme="minorHAnsi"/>
          <w:sz w:val="24"/>
          <w:szCs w:val="24"/>
        </w:rPr>
        <w:t>ocial isolation and lack of support from family/friends</w:t>
      </w:r>
      <w:r w:rsidR="00245751" w:rsidRPr="004212CA">
        <w:rPr>
          <w:rFonts w:cstheme="minorHAnsi"/>
          <w:sz w:val="24"/>
          <w:szCs w:val="24"/>
        </w:rPr>
        <w:t>;</w:t>
      </w:r>
      <w:r w:rsidR="00F77291" w:rsidRPr="004212CA">
        <w:rPr>
          <w:rFonts w:cstheme="minorHAnsi"/>
          <w:sz w:val="24"/>
          <w:szCs w:val="24"/>
        </w:rPr>
        <w:t xml:space="preserve"> extreme compensatory behaviours (</w:t>
      </w:r>
      <w:r w:rsidR="00CC29B9">
        <w:rPr>
          <w:rFonts w:cstheme="minorHAnsi"/>
          <w:sz w:val="24"/>
          <w:szCs w:val="24"/>
        </w:rPr>
        <w:t>e.g</w:t>
      </w:r>
      <w:r w:rsidR="00F77291" w:rsidRPr="004212CA">
        <w:rPr>
          <w:rFonts w:cstheme="minorHAnsi"/>
          <w:sz w:val="24"/>
          <w:szCs w:val="24"/>
        </w:rPr>
        <w:t>. 14 or more episodes</w:t>
      </w:r>
      <w:r w:rsidR="00F639D6">
        <w:rPr>
          <w:rFonts w:cstheme="minorHAnsi"/>
          <w:sz w:val="24"/>
          <w:szCs w:val="24"/>
        </w:rPr>
        <w:t>/</w:t>
      </w:r>
      <w:r w:rsidR="00F77291" w:rsidRPr="004212CA">
        <w:rPr>
          <w:rFonts w:cstheme="minorHAnsi"/>
          <w:sz w:val="24"/>
          <w:szCs w:val="24"/>
        </w:rPr>
        <w:t xml:space="preserve"> week</w:t>
      </w:r>
      <w:r w:rsidR="00F639D6">
        <w:rPr>
          <w:rFonts w:cstheme="minorHAnsi"/>
          <w:sz w:val="24"/>
          <w:szCs w:val="24"/>
        </w:rPr>
        <w:t>) of</w:t>
      </w:r>
      <w:r w:rsidR="00F77291" w:rsidRPr="004212CA">
        <w:rPr>
          <w:rFonts w:cstheme="minorHAnsi"/>
          <w:sz w:val="24"/>
          <w:szCs w:val="24"/>
        </w:rPr>
        <w:t xml:space="preserve"> purging or excessive exercise (&gt; 1 hour per day)</w:t>
      </w:r>
      <w:r w:rsidR="00245751" w:rsidRPr="004212CA">
        <w:rPr>
          <w:rFonts w:cstheme="minorHAnsi"/>
          <w:sz w:val="24"/>
          <w:szCs w:val="24"/>
        </w:rPr>
        <w:t>; u</w:t>
      </w:r>
      <w:r w:rsidR="00F77291" w:rsidRPr="004212CA">
        <w:rPr>
          <w:rFonts w:cstheme="minorHAnsi"/>
          <w:sz w:val="24"/>
          <w:szCs w:val="24"/>
        </w:rPr>
        <w:t xml:space="preserve">nstable physical health parameters </w:t>
      </w:r>
      <w:r w:rsidR="001D6C45">
        <w:rPr>
          <w:rFonts w:cstheme="minorHAnsi"/>
          <w:sz w:val="24"/>
          <w:szCs w:val="24"/>
        </w:rPr>
        <w:t xml:space="preserve">e.g. </w:t>
      </w:r>
      <w:r w:rsidR="00F77291" w:rsidRPr="004212CA">
        <w:rPr>
          <w:rFonts w:cstheme="minorHAnsi"/>
          <w:sz w:val="24"/>
          <w:szCs w:val="24"/>
        </w:rPr>
        <w:t>electrolyte abnormalities or cardiovascular compromises</w:t>
      </w:r>
      <w:r w:rsidR="00245751" w:rsidRPr="004212CA">
        <w:rPr>
          <w:rFonts w:cstheme="minorHAnsi"/>
          <w:sz w:val="24"/>
          <w:szCs w:val="24"/>
        </w:rPr>
        <w:t>; d</w:t>
      </w:r>
      <w:r w:rsidR="00F77291" w:rsidRPr="004212CA">
        <w:rPr>
          <w:rFonts w:cstheme="minorHAnsi"/>
          <w:sz w:val="24"/>
          <w:szCs w:val="24"/>
        </w:rPr>
        <w:t>ietary intake &lt;1000 calories per day</w:t>
      </w:r>
      <w:r w:rsidR="00245751" w:rsidRPr="004212CA">
        <w:rPr>
          <w:rFonts w:cstheme="minorHAnsi"/>
          <w:sz w:val="24"/>
          <w:szCs w:val="24"/>
        </w:rPr>
        <w:t xml:space="preserve">; </w:t>
      </w:r>
      <w:r w:rsidR="0044697C">
        <w:rPr>
          <w:rFonts w:cstheme="minorHAnsi"/>
          <w:sz w:val="24"/>
          <w:szCs w:val="24"/>
        </w:rPr>
        <w:t xml:space="preserve">clients </w:t>
      </w:r>
      <w:r w:rsidR="00F77291" w:rsidRPr="004212CA">
        <w:rPr>
          <w:rFonts w:cstheme="minorHAnsi"/>
          <w:sz w:val="24"/>
          <w:szCs w:val="24"/>
        </w:rPr>
        <w:t>who ha</w:t>
      </w:r>
      <w:r w:rsidR="001D6C45">
        <w:rPr>
          <w:rFonts w:cstheme="minorHAnsi"/>
          <w:sz w:val="24"/>
          <w:szCs w:val="24"/>
        </w:rPr>
        <w:t>d</w:t>
      </w:r>
      <w:r w:rsidR="00F77291" w:rsidRPr="004212CA">
        <w:rPr>
          <w:rFonts w:cstheme="minorHAnsi"/>
          <w:sz w:val="24"/>
          <w:szCs w:val="24"/>
        </w:rPr>
        <w:t xml:space="preserve"> been detained as inpatients in non-</w:t>
      </w:r>
      <w:r w:rsidR="00C679C0" w:rsidRPr="004212CA">
        <w:rPr>
          <w:rFonts w:cstheme="minorHAnsi"/>
          <w:sz w:val="24"/>
          <w:szCs w:val="24"/>
        </w:rPr>
        <w:t>ED unit</w:t>
      </w:r>
      <w:r w:rsidR="001D6C45">
        <w:rPr>
          <w:rFonts w:cstheme="minorHAnsi"/>
          <w:sz w:val="24"/>
          <w:szCs w:val="24"/>
        </w:rPr>
        <w:t>s</w:t>
      </w:r>
      <w:r w:rsidR="00C679C0" w:rsidRPr="004212CA">
        <w:rPr>
          <w:rFonts w:cstheme="minorHAnsi"/>
          <w:sz w:val="24"/>
          <w:szCs w:val="24"/>
        </w:rPr>
        <w:t xml:space="preserve"> </w:t>
      </w:r>
      <w:r w:rsidR="00AC2D9C">
        <w:rPr>
          <w:rFonts w:cstheme="minorHAnsi"/>
          <w:sz w:val="24"/>
          <w:szCs w:val="24"/>
        </w:rPr>
        <w:t>or</w:t>
      </w:r>
      <w:r w:rsidR="00F77291" w:rsidRPr="004212CA">
        <w:rPr>
          <w:rFonts w:cstheme="minorHAnsi"/>
          <w:sz w:val="24"/>
          <w:szCs w:val="24"/>
        </w:rPr>
        <w:t xml:space="preserve"> with high risk and treatment refusal needing MHA assessments or recalls from CTOs who c</w:t>
      </w:r>
      <w:r w:rsidR="00270A90">
        <w:rPr>
          <w:rFonts w:cstheme="minorHAnsi"/>
          <w:sz w:val="24"/>
          <w:szCs w:val="24"/>
        </w:rPr>
        <w:t xml:space="preserve">ould </w:t>
      </w:r>
      <w:r w:rsidR="00F77291" w:rsidRPr="004212CA">
        <w:rPr>
          <w:rFonts w:cstheme="minorHAnsi"/>
          <w:sz w:val="24"/>
          <w:szCs w:val="24"/>
        </w:rPr>
        <w:t xml:space="preserve">wait </w:t>
      </w:r>
      <w:r w:rsidR="00F639D6">
        <w:rPr>
          <w:rFonts w:cstheme="minorHAnsi"/>
          <w:sz w:val="24"/>
          <w:szCs w:val="24"/>
        </w:rPr>
        <w:t xml:space="preserve">up to a week </w:t>
      </w:r>
      <w:r w:rsidR="00C679C0" w:rsidRPr="004212CA">
        <w:rPr>
          <w:rFonts w:cstheme="minorHAnsi"/>
          <w:sz w:val="24"/>
          <w:szCs w:val="24"/>
        </w:rPr>
        <w:t xml:space="preserve">for </w:t>
      </w:r>
      <w:r w:rsidR="00AC2D9C">
        <w:rPr>
          <w:rFonts w:cstheme="minorHAnsi"/>
          <w:sz w:val="24"/>
          <w:szCs w:val="24"/>
        </w:rPr>
        <w:t>beds</w:t>
      </w:r>
      <w:r w:rsidR="00C679C0" w:rsidRPr="004212CA">
        <w:rPr>
          <w:rFonts w:cstheme="minorHAnsi"/>
          <w:sz w:val="24"/>
          <w:szCs w:val="24"/>
        </w:rPr>
        <w:t xml:space="preserve">. </w:t>
      </w:r>
    </w:p>
    <w:p w14:paraId="358F85D6" w14:textId="094B878F" w:rsidR="000A5467" w:rsidRPr="00EA1479" w:rsidRDefault="008D29F4" w:rsidP="00951D2C">
      <w:pPr>
        <w:pStyle w:val="ListParagraph"/>
        <w:numPr>
          <w:ilvl w:val="1"/>
          <w:numId w:val="16"/>
        </w:numPr>
        <w:spacing w:line="480" w:lineRule="auto"/>
        <w:rPr>
          <w:rFonts w:cstheme="minorHAnsi"/>
          <w:sz w:val="24"/>
          <w:szCs w:val="24"/>
        </w:rPr>
      </w:pPr>
      <w:r w:rsidRPr="00EA1479">
        <w:rPr>
          <w:rFonts w:cstheme="minorHAnsi"/>
          <w:sz w:val="24"/>
          <w:szCs w:val="24"/>
        </w:rPr>
        <w:t>‘</w:t>
      </w:r>
      <w:r w:rsidR="000A5467" w:rsidRPr="00EA1479">
        <w:rPr>
          <w:rFonts w:cstheme="minorHAnsi"/>
          <w:sz w:val="24"/>
          <w:szCs w:val="24"/>
        </w:rPr>
        <w:t>routine</w:t>
      </w:r>
      <w:r w:rsidR="0043640E" w:rsidRPr="00EA1479">
        <w:rPr>
          <w:rFonts w:cstheme="minorHAnsi"/>
          <w:sz w:val="24"/>
          <w:szCs w:val="24"/>
        </w:rPr>
        <w:t>/planned</w:t>
      </w:r>
      <w:r w:rsidRPr="00EA1479">
        <w:rPr>
          <w:rFonts w:cstheme="minorHAnsi"/>
          <w:sz w:val="24"/>
          <w:szCs w:val="24"/>
        </w:rPr>
        <w:t>’</w:t>
      </w:r>
      <w:r w:rsidR="000A5467" w:rsidRPr="00EA1479">
        <w:rPr>
          <w:rFonts w:cstheme="minorHAnsi"/>
          <w:sz w:val="24"/>
          <w:szCs w:val="24"/>
        </w:rPr>
        <w:t xml:space="preserve"> referrals</w:t>
      </w:r>
      <w:r w:rsidR="008718E0" w:rsidRPr="00EA1479">
        <w:rPr>
          <w:rFonts w:cstheme="minorHAnsi"/>
          <w:sz w:val="24"/>
          <w:szCs w:val="24"/>
        </w:rPr>
        <w:t xml:space="preserve"> </w:t>
      </w:r>
      <w:r w:rsidR="00B46420" w:rsidRPr="00EA1479">
        <w:rPr>
          <w:rFonts w:cstheme="minorHAnsi"/>
          <w:sz w:val="24"/>
          <w:szCs w:val="24"/>
        </w:rPr>
        <w:t xml:space="preserve">could </w:t>
      </w:r>
      <w:r w:rsidR="003575DD" w:rsidRPr="00EA1479">
        <w:rPr>
          <w:rFonts w:cstheme="minorHAnsi"/>
          <w:sz w:val="24"/>
          <w:szCs w:val="24"/>
        </w:rPr>
        <w:t xml:space="preserve">remain on the waiting list for </w:t>
      </w:r>
      <w:r w:rsidR="004C5ED2" w:rsidRPr="00EA1479">
        <w:rPr>
          <w:rFonts w:cstheme="minorHAnsi"/>
          <w:sz w:val="24"/>
          <w:szCs w:val="24"/>
        </w:rPr>
        <w:t xml:space="preserve">longer </w:t>
      </w:r>
      <w:r w:rsidR="003575DD" w:rsidRPr="00EA1479">
        <w:rPr>
          <w:rFonts w:cstheme="minorHAnsi"/>
          <w:sz w:val="24"/>
          <w:szCs w:val="24"/>
        </w:rPr>
        <w:t>than a week</w:t>
      </w:r>
      <w:r w:rsidR="00BB0B4C" w:rsidRPr="00EA1479">
        <w:rPr>
          <w:rFonts w:cstheme="minorHAnsi"/>
          <w:sz w:val="24"/>
          <w:szCs w:val="24"/>
        </w:rPr>
        <w:t xml:space="preserve"> e.g. </w:t>
      </w:r>
      <w:r w:rsidR="001D6C45">
        <w:rPr>
          <w:rFonts w:cstheme="minorHAnsi"/>
          <w:sz w:val="24"/>
          <w:szCs w:val="24"/>
        </w:rPr>
        <w:t>when</w:t>
      </w:r>
      <w:r w:rsidR="00FD147E" w:rsidRPr="00EA1479">
        <w:rPr>
          <w:rFonts w:cstheme="minorHAnsi"/>
          <w:sz w:val="24"/>
          <w:szCs w:val="24"/>
        </w:rPr>
        <w:t xml:space="preserve"> o</w:t>
      </w:r>
      <w:r w:rsidR="003E6337" w:rsidRPr="00EA1479">
        <w:rPr>
          <w:rFonts w:cstheme="minorHAnsi"/>
          <w:sz w:val="24"/>
          <w:szCs w:val="24"/>
        </w:rPr>
        <w:t>utpatient psychological treatment ha</w:t>
      </w:r>
      <w:r w:rsidR="00F639D6">
        <w:rPr>
          <w:rFonts w:cstheme="minorHAnsi"/>
          <w:sz w:val="24"/>
          <w:szCs w:val="24"/>
        </w:rPr>
        <w:t>d</w:t>
      </w:r>
      <w:r w:rsidR="003E6337" w:rsidRPr="00EA1479">
        <w:rPr>
          <w:rFonts w:cstheme="minorHAnsi"/>
          <w:sz w:val="24"/>
          <w:szCs w:val="24"/>
        </w:rPr>
        <w:t xml:space="preserve"> been </w:t>
      </w:r>
      <w:r w:rsidR="00F639D6">
        <w:rPr>
          <w:rFonts w:cstheme="minorHAnsi"/>
          <w:sz w:val="24"/>
          <w:szCs w:val="24"/>
        </w:rPr>
        <w:t>in</w:t>
      </w:r>
      <w:r w:rsidR="003E6337" w:rsidRPr="00EA1479">
        <w:rPr>
          <w:rFonts w:cstheme="minorHAnsi"/>
          <w:sz w:val="24"/>
          <w:szCs w:val="24"/>
        </w:rPr>
        <w:t xml:space="preserve">sufficient to effect change </w:t>
      </w:r>
      <w:r w:rsidR="001D6C45">
        <w:rPr>
          <w:rFonts w:cstheme="minorHAnsi"/>
          <w:sz w:val="24"/>
          <w:szCs w:val="24"/>
        </w:rPr>
        <w:t xml:space="preserve">with </w:t>
      </w:r>
      <w:r w:rsidR="003E6337" w:rsidRPr="00EA1479">
        <w:rPr>
          <w:rFonts w:cstheme="minorHAnsi"/>
          <w:sz w:val="24"/>
          <w:szCs w:val="24"/>
        </w:rPr>
        <w:t>continuing weight loss</w:t>
      </w:r>
      <w:r w:rsidR="00AD0348" w:rsidRPr="00EA1479">
        <w:rPr>
          <w:rFonts w:cstheme="minorHAnsi"/>
          <w:sz w:val="24"/>
          <w:szCs w:val="24"/>
        </w:rPr>
        <w:t xml:space="preserve">; </w:t>
      </w:r>
      <w:r w:rsidR="005365F2">
        <w:rPr>
          <w:rFonts w:cstheme="minorHAnsi"/>
          <w:sz w:val="24"/>
          <w:szCs w:val="24"/>
        </w:rPr>
        <w:t>for</w:t>
      </w:r>
      <w:r w:rsidR="00AD0348" w:rsidRPr="00EA1479">
        <w:rPr>
          <w:rFonts w:cstheme="minorHAnsi"/>
          <w:sz w:val="24"/>
          <w:szCs w:val="24"/>
        </w:rPr>
        <w:t xml:space="preserve"> planned </w:t>
      </w:r>
      <w:r w:rsidR="003E6337" w:rsidRPr="00EA1479">
        <w:rPr>
          <w:rFonts w:cstheme="minorHAnsi"/>
          <w:sz w:val="24"/>
          <w:szCs w:val="24"/>
        </w:rPr>
        <w:t>admission</w:t>
      </w:r>
      <w:r w:rsidR="005365F2">
        <w:rPr>
          <w:rFonts w:cstheme="minorHAnsi"/>
          <w:sz w:val="24"/>
          <w:szCs w:val="24"/>
        </w:rPr>
        <w:t>s</w:t>
      </w:r>
      <w:r w:rsidR="00AD0348" w:rsidRPr="00EA1479">
        <w:rPr>
          <w:rFonts w:cstheme="minorHAnsi"/>
          <w:sz w:val="24"/>
          <w:szCs w:val="24"/>
        </w:rPr>
        <w:t xml:space="preserve"> with commitment</w:t>
      </w:r>
      <w:r w:rsidR="005365F2">
        <w:rPr>
          <w:rFonts w:cstheme="minorHAnsi"/>
          <w:sz w:val="24"/>
          <w:szCs w:val="24"/>
        </w:rPr>
        <w:t>s</w:t>
      </w:r>
      <w:r w:rsidR="00AD0348" w:rsidRPr="00EA1479">
        <w:rPr>
          <w:rFonts w:cstheme="minorHAnsi"/>
          <w:sz w:val="24"/>
          <w:szCs w:val="24"/>
        </w:rPr>
        <w:t xml:space="preserve"> to</w:t>
      </w:r>
      <w:r w:rsidR="001D6C45">
        <w:rPr>
          <w:rFonts w:cstheme="minorHAnsi"/>
          <w:sz w:val="24"/>
          <w:szCs w:val="24"/>
        </w:rPr>
        <w:t xml:space="preserve"> full</w:t>
      </w:r>
      <w:r w:rsidR="00AD0348" w:rsidRPr="00EA1479">
        <w:rPr>
          <w:rFonts w:cstheme="minorHAnsi"/>
          <w:sz w:val="24"/>
          <w:szCs w:val="24"/>
        </w:rPr>
        <w:t xml:space="preserve"> recovery</w:t>
      </w:r>
      <w:r w:rsidR="00EA1479" w:rsidRPr="00EA1479">
        <w:rPr>
          <w:rFonts w:cstheme="minorHAnsi"/>
          <w:sz w:val="24"/>
          <w:szCs w:val="24"/>
        </w:rPr>
        <w:t xml:space="preserve">; </w:t>
      </w:r>
      <w:r w:rsidR="003E6337" w:rsidRPr="00EA1479">
        <w:rPr>
          <w:rFonts w:cstheme="minorHAnsi"/>
          <w:sz w:val="24"/>
          <w:szCs w:val="24"/>
        </w:rPr>
        <w:t>low weight</w:t>
      </w:r>
      <w:r w:rsidR="005365F2">
        <w:rPr>
          <w:rFonts w:cstheme="minorHAnsi"/>
          <w:sz w:val="24"/>
          <w:szCs w:val="24"/>
        </w:rPr>
        <w:t xml:space="preserve"> and medically unstable</w:t>
      </w:r>
      <w:r w:rsidR="003E6337" w:rsidRPr="00EA1479">
        <w:rPr>
          <w:rFonts w:cstheme="minorHAnsi"/>
          <w:sz w:val="24"/>
          <w:szCs w:val="24"/>
        </w:rPr>
        <w:t xml:space="preserve"> (usually chronically unwell) </w:t>
      </w:r>
      <w:r w:rsidR="00AC2D9C">
        <w:rPr>
          <w:rFonts w:cstheme="minorHAnsi"/>
          <w:sz w:val="24"/>
          <w:szCs w:val="24"/>
        </w:rPr>
        <w:t xml:space="preserve">clients </w:t>
      </w:r>
      <w:r w:rsidR="003E6337" w:rsidRPr="00EA1479">
        <w:rPr>
          <w:rFonts w:cstheme="minorHAnsi"/>
          <w:sz w:val="24"/>
          <w:szCs w:val="24"/>
        </w:rPr>
        <w:t xml:space="preserve">who </w:t>
      </w:r>
      <w:r w:rsidR="00EA1479" w:rsidRPr="00EA1479">
        <w:rPr>
          <w:rFonts w:cstheme="minorHAnsi"/>
          <w:sz w:val="24"/>
          <w:szCs w:val="24"/>
        </w:rPr>
        <w:t>we</w:t>
      </w:r>
      <w:r w:rsidR="003E6337" w:rsidRPr="00EA1479">
        <w:rPr>
          <w:rFonts w:cstheme="minorHAnsi"/>
          <w:sz w:val="24"/>
          <w:szCs w:val="24"/>
        </w:rPr>
        <w:t xml:space="preserve">re </w:t>
      </w:r>
      <w:r w:rsidR="00F639D6">
        <w:rPr>
          <w:rFonts w:cstheme="minorHAnsi"/>
          <w:sz w:val="24"/>
          <w:szCs w:val="24"/>
        </w:rPr>
        <w:t>un</w:t>
      </w:r>
      <w:r w:rsidR="003E6337" w:rsidRPr="00EA1479">
        <w:rPr>
          <w:rFonts w:cstheme="minorHAnsi"/>
          <w:sz w:val="24"/>
          <w:szCs w:val="24"/>
        </w:rPr>
        <w:t>able to manage in daily life</w:t>
      </w:r>
      <w:r w:rsidR="00F639D6">
        <w:rPr>
          <w:rFonts w:cstheme="minorHAnsi"/>
          <w:sz w:val="24"/>
          <w:szCs w:val="24"/>
        </w:rPr>
        <w:t xml:space="preserve"> and</w:t>
      </w:r>
      <w:r w:rsidR="003E6337" w:rsidRPr="00EA1479">
        <w:rPr>
          <w:rFonts w:cstheme="minorHAnsi"/>
          <w:sz w:val="24"/>
          <w:szCs w:val="24"/>
        </w:rPr>
        <w:t xml:space="preserve"> require</w:t>
      </w:r>
      <w:r w:rsidR="00EA1479" w:rsidRPr="00EA1479">
        <w:rPr>
          <w:rFonts w:cstheme="minorHAnsi"/>
          <w:sz w:val="24"/>
          <w:szCs w:val="24"/>
        </w:rPr>
        <w:t>d</w:t>
      </w:r>
      <w:r w:rsidR="003E6337" w:rsidRPr="00EA1479">
        <w:rPr>
          <w:rFonts w:cstheme="minorHAnsi"/>
          <w:sz w:val="24"/>
          <w:szCs w:val="24"/>
        </w:rPr>
        <w:t xml:space="preserve"> help with weight stabilisation or modest weight restoration. </w:t>
      </w:r>
      <w:r w:rsidR="005365F2">
        <w:rPr>
          <w:rFonts w:cstheme="minorHAnsi"/>
          <w:sz w:val="24"/>
          <w:szCs w:val="24"/>
        </w:rPr>
        <w:t>Occasionally</w:t>
      </w:r>
      <w:r w:rsidR="00120B66" w:rsidRPr="00EA1479">
        <w:rPr>
          <w:rFonts w:cstheme="minorHAnsi"/>
          <w:sz w:val="24"/>
          <w:szCs w:val="24"/>
        </w:rPr>
        <w:t>, clients who suffered from severe and medically unstable bulimia nervosa were accepted for symptom interruption of inappropriate compensatory behaviours, including clients with diabetes, pregnancy, or not responding to intensive community treatment</w:t>
      </w:r>
      <w:r w:rsidR="00341FB1" w:rsidRPr="00EA1479">
        <w:rPr>
          <w:rFonts w:cstheme="minorHAnsi"/>
          <w:sz w:val="24"/>
          <w:szCs w:val="24"/>
        </w:rPr>
        <w:t>.</w:t>
      </w:r>
    </w:p>
    <w:p w14:paraId="0730462D" w14:textId="619792ED" w:rsidR="00905ACA" w:rsidRPr="00BF02A2" w:rsidRDefault="00905ACA" w:rsidP="00E764AA">
      <w:pPr>
        <w:pStyle w:val="ListParagraph"/>
        <w:numPr>
          <w:ilvl w:val="0"/>
          <w:numId w:val="16"/>
        </w:numPr>
        <w:spacing w:line="480" w:lineRule="auto"/>
        <w:ind w:left="360"/>
        <w:rPr>
          <w:rFonts w:cstheme="minorHAnsi"/>
          <w:sz w:val="24"/>
          <w:szCs w:val="24"/>
        </w:rPr>
      </w:pPr>
      <w:r w:rsidRPr="00BF02A2">
        <w:rPr>
          <w:rFonts w:cstheme="minorHAnsi"/>
          <w:sz w:val="24"/>
          <w:szCs w:val="24"/>
        </w:rPr>
        <w:t xml:space="preserve">Responsibilities and </w:t>
      </w:r>
      <w:r w:rsidR="004E6F9F" w:rsidRPr="00BF02A2">
        <w:rPr>
          <w:rFonts w:cstheme="minorHAnsi"/>
          <w:sz w:val="24"/>
          <w:szCs w:val="24"/>
        </w:rPr>
        <w:t xml:space="preserve">response times of the </w:t>
      </w:r>
      <w:r w:rsidR="0093117E" w:rsidRPr="00BF02A2">
        <w:rPr>
          <w:rFonts w:cstheme="minorHAnsi"/>
          <w:sz w:val="24"/>
          <w:szCs w:val="24"/>
        </w:rPr>
        <w:t>Clinical Activity Panel (CAP)</w:t>
      </w:r>
      <w:r w:rsidR="00A103A2">
        <w:rPr>
          <w:rFonts w:cstheme="minorHAnsi"/>
          <w:sz w:val="24"/>
          <w:szCs w:val="24"/>
        </w:rPr>
        <w:t>. S</w:t>
      </w:r>
      <w:r w:rsidR="00763414" w:rsidRPr="00EC1004">
        <w:rPr>
          <w:rFonts w:cstheme="minorHAnsi"/>
          <w:sz w:val="24"/>
          <w:szCs w:val="24"/>
        </w:rPr>
        <w:t>enior</w:t>
      </w:r>
      <w:r w:rsidR="00EC1004" w:rsidRPr="00EC1004">
        <w:rPr>
          <w:rFonts w:cstheme="minorHAnsi"/>
          <w:sz w:val="24"/>
          <w:szCs w:val="24"/>
        </w:rPr>
        <w:t xml:space="preserve"> clinicians from </w:t>
      </w:r>
      <w:r w:rsidR="00E21649">
        <w:rPr>
          <w:rFonts w:cstheme="minorHAnsi"/>
          <w:sz w:val="24"/>
          <w:szCs w:val="24"/>
        </w:rPr>
        <w:t>all</w:t>
      </w:r>
      <w:r w:rsidR="00EC1004" w:rsidRPr="00EC1004">
        <w:rPr>
          <w:rFonts w:cstheme="minorHAnsi"/>
          <w:sz w:val="24"/>
          <w:szCs w:val="24"/>
        </w:rPr>
        <w:t xml:space="preserve"> provider</w:t>
      </w:r>
      <w:r w:rsidR="00E21649">
        <w:rPr>
          <w:rFonts w:cstheme="minorHAnsi"/>
          <w:sz w:val="24"/>
          <w:szCs w:val="24"/>
        </w:rPr>
        <w:t>s</w:t>
      </w:r>
      <w:r w:rsidR="00EC1004" w:rsidRPr="00EC1004">
        <w:rPr>
          <w:rFonts w:cstheme="minorHAnsi"/>
          <w:sz w:val="24"/>
          <w:szCs w:val="24"/>
        </w:rPr>
        <w:t xml:space="preserve"> met weekly to</w:t>
      </w:r>
      <w:r w:rsidR="00E21649">
        <w:rPr>
          <w:rFonts w:cstheme="minorHAnsi"/>
          <w:sz w:val="24"/>
          <w:szCs w:val="24"/>
        </w:rPr>
        <w:t xml:space="preserve"> prioritise all referrals as </w:t>
      </w:r>
      <w:r w:rsidR="00994403">
        <w:rPr>
          <w:rFonts w:cstheme="minorHAnsi"/>
          <w:sz w:val="24"/>
          <w:szCs w:val="24"/>
        </w:rPr>
        <w:t xml:space="preserve">either </w:t>
      </w:r>
      <w:r w:rsidR="00E21649">
        <w:rPr>
          <w:rFonts w:cstheme="minorHAnsi"/>
          <w:sz w:val="24"/>
          <w:szCs w:val="24"/>
        </w:rPr>
        <w:t xml:space="preserve">‘urgent’ or ‘routine’ </w:t>
      </w:r>
      <w:r w:rsidR="00EC1004" w:rsidRPr="00EC1004">
        <w:rPr>
          <w:rFonts w:cstheme="minorHAnsi"/>
          <w:sz w:val="24"/>
          <w:szCs w:val="24"/>
        </w:rPr>
        <w:t>and agree on the allocation of beds based on the risks and clinical presentations of clients.</w:t>
      </w:r>
      <w:r w:rsidR="001160D6">
        <w:rPr>
          <w:rFonts w:cstheme="minorHAnsi"/>
          <w:sz w:val="24"/>
          <w:szCs w:val="24"/>
        </w:rPr>
        <w:t xml:space="preserve"> CAP was informed of ‘emergency’ admissions</w:t>
      </w:r>
      <w:r w:rsidR="00001CB9">
        <w:rPr>
          <w:rFonts w:cstheme="minorHAnsi"/>
          <w:sz w:val="24"/>
          <w:szCs w:val="24"/>
        </w:rPr>
        <w:t xml:space="preserve"> </w:t>
      </w:r>
      <w:r w:rsidR="00593DC7">
        <w:rPr>
          <w:rFonts w:cstheme="minorHAnsi"/>
          <w:sz w:val="24"/>
          <w:szCs w:val="24"/>
        </w:rPr>
        <w:t xml:space="preserve">which occurred </w:t>
      </w:r>
      <w:r w:rsidR="00602810">
        <w:rPr>
          <w:rFonts w:cstheme="minorHAnsi"/>
          <w:sz w:val="24"/>
          <w:szCs w:val="24"/>
        </w:rPr>
        <w:t xml:space="preserve">between </w:t>
      </w:r>
      <w:r w:rsidR="001A5CC4">
        <w:rPr>
          <w:rFonts w:cstheme="minorHAnsi"/>
          <w:sz w:val="24"/>
          <w:szCs w:val="24"/>
        </w:rPr>
        <w:t>meetings</w:t>
      </w:r>
      <w:r w:rsidR="001160D6">
        <w:rPr>
          <w:rFonts w:cstheme="minorHAnsi"/>
          <w:sz w:val="24"/>
          <w:szCs w:val="24"/>
        </w:rPr>
        <w:t xml:space="preserve">. </w:t>
      </w:r>
    </w:p>
    <w:p w14:paraId="5901DAD2" w14:textId="33C59435" w:rsidR="004E6F9F" w:rsidRPr="00BF02A2" w:rsidRDefault="004E6F9F" w:rsidP="00E764AA">
      <w:pPr>
        <w:pStyle w:val="ListParagraph"/>
        <w:numPr>
          <w:ilvl w:val="0"/>
          <w:numId w:val="16"/>
        </w:numPr>
        <w:spacing w:line="480" w:lineRule="auto"/>
        <w:ind w:left="360"/>
        <w:rPr>
          <w:rFonts w:cstheme="minorHAnsi"/>
          <w:sz w:val="24"/>
          <w:szCs w:val="24"/>
        </w:rPr>
      </w:pPr>
      <w:r w:rsidRPr="00BF02A2">
        <w:rPr>
          <w:rFonts w:cstheme="minorHAnsi"/>
          <w:sz w:val="24"/>
          <w:szCs w:val="24"/>
        </w:rPr>
        <w:t>Resp</w:t>
      </w:r>
      <w:r w:rsidR="00C94D12" w:rsidRPr="00BF02A2">
        <w:rPr>
          <w:rFonts w:cstheme="minorHAnsi"/>
          <w:sz w:val="24"/>
          <w:szCs w:val="24"/>
        </w:rPr>
        <w:t>ective resp</w:t>
      </w:r>
      <w:r w:rsidRPr="00BF02A2">
        <w:rPr>
          <w:rFonts w:cstheme="minorHAnsi"/>
          <w:sz w:val="24"/>
          <w:szCs w:val="24"/>
        </w:rPr>
        <w:t xml:space="preserve">onsibilities of the referrer/community </w:t>
      </w:r>
      <w:r w:rsidR="00B9036D" w:rsidRPr="00BF02A2">
        <w:rPr>
          <w:rFonts w:cstheme="minorHAnsi"/>
          <w:sz w:val="24"/>
          <w:szCs w:val="24"/>
        </w:rPr>
        <w:t>ED service</w:t>
      </w:r>
      <w:r w:rsidR="00C94D12" w:rsidRPr="00BF02A2">
        <w:rPr>
          <w:rFonts w:cstheme="minorHAnsi"/>
          <w:sz w:val="24"/>
          <w:szCs w:val="24"/>
        </w:rPr>
        <w:t>s</w:t>
      </w:r>
      <w:r w:rsidR="00296037">
        <w:rPr>
          <w:rFonts w:cstheme="minorHAnsi"/>
          <w:sz w:val="24"/>
          <w:szCs w:val="24"/>
        </w:rPr>
        <w:t xml:space="preserve"> (including while clients were </w:t>
      </w:r>
      <w:r w:rsidR="00EF0256">
        <w:rPr>
          <w:rFonts w:cstheme="minorHAnsi"/>
          <w:sz w:val="24"/>
          <w:szCs w:val="24"/>
        </w:rPr>
        <w:t>waiting</w:t>
      </w:r>
      <w:r w:rsidR="00296037">
        <w:rPr>
          <w:rFonts w:cstheme="minorHAnsi"/>
          <w:sz w:val="24"/>
          <w:szCs w:val="24"/>
        </w:rPr>
        <w:t xml:space="preserve"> for beds)</w:t>
      </w:r>
      <w:r w:rsidR="00B9036D" w:rsidRPr="00BF02A2">
        <w:rPr>
          <w:rFonts w:cstheme="minorHAnsi"/>
          <w:sz w:val="24"/>
          <w:szCs w:val="24"/>
        </w:rPr>
        <w:t xml:space="preserve">, inpatient </w:t>
      </w:r>
      <w:r w:rsidR="00C94D12" w:rsidRPr="00BF02A2">
        <w:rPr>
          <w:rFonts w:cstheme="minorHAnsi"/>
          <w:sz w:val="24"/>
          <w:szCs w:val="24"/>
        </w:rPr>
        <w:t>providers</w:t>
      </w:r>
      <w:r w:rsidR="00B9036D" w:rsidRPr="00BF02A2">
        <w:rPr>
          <w:rFonts w:cstheme="minorHAnsi"/>
          <w:sz w:val="24"/>
          <w:szCs w:val="24"/>
        </w:rPr>
        <w:t xml:space="preserve">, </w:t>
      </w:r>
      <w:r w:rsidR="00C94D12" w:rsidRPr="00BF02A2">
        <w:rPr>
          <w:rFonts w:cstheme="minorHAnsi"/>
          <w:sz w:val="24"/>
          <w:szCs w:val="24"/>
        </w:rPr>
        <w:t xml:space="preserve">NHSE </w:t>
      </w:r>
      <w:r w:rsidR="00B9036D" w:rsidRPr="00BF02A2">
        <w:rPr>
          <w:rFonts w:cstheme="minorHAnsi"/>
          <w:sz w:val="24"/>
          <w:szCs w:val="24"/>
        </w:rPr>
        <w:t xml:space="preserve">case managers, </w:t>
      </w:r>
      <w:r w:rsidR="00C94D12" w:rsidRPr="00BF02A2">
        <w:rPr>
          <w:rFonts w:cstheme="minorHAnsi"/>
          <w:sz w:val="24"/>
          <w:szCs w:val="24"/>
        </w:rPr>
        <w:t>HOPE</w:t>
      </w:r>
      <w:r w:rsidR="00B9036D" w:rsidRPr="00BF02A2">
        <w:rPr>
          <w:rFonts w:cstheme="minorHAnsi"/>
          <w:sz w:val="24"/>
          <w:szCs w:val="24"/>
        </w:rPr>
        <w:t xml:space="preserve"> network manager,</w:t>
      </w:r>
      <w:r w:rsidR="000E17FD">
        <w:rPr>
          <w:rFonts w:cstheme="minorHAnsi"/>
          <w:sz w:val="24"/>
          <w:szCs w:val="24"/>
        </w:rPr>
        <w:t xml:space="preserve"> and</w:t>
      </w:r>
      <w:r w:rsidR="00B9036D" w:rsidRPr="00BF02A2">
        <w:rPr>
          <w:rFonts w:cstheme="minorHAnsi"/>
          <w:sz w:val="24"/>
          <w:szCs w:val="24"/>
        </w:rPr>
        <w:t xml:space="preserve"> HOPE </w:t>
      </w:r>
      <w:r w:rsidR="00546684">
        <w:rPr>
          <w:rFonts w:cstheme="minorHAnsi"/>
          <w:sz w:val="24"/>
          <w:szCs w:val="24"/>
        </w:rPr>
        <w:t>c</w:t>
      </w:r>
      <w:r w:rsidR="00B9036D" w:rsidRPr="00BF02A2">
        <w:rPr>
          <w:rFonts w:cstheme="minorHAnsi"/>
          <w:sz w:val="24"/>
          <w:szCs w:val="24"/>
        </w:rPr>
        <w:t>linical Leads</w:t>
      </w:r>
      <w:r w:rsidR="00296037">
        <w:rPr>
          <w:rFonts w:cstheme="minorHAnsi"/>
          <w:sz w:val="24"/>
          <w:szCs w:val="24"/>
        </w:rPr>
        <w:t>.</w:t>
      </w:r>
    </w:p>
    <w:p w14:paraId="3DD54BC2" w14:textId="56D8C67B" w:rsidR="00771B8C" w:rsidRPr="00BF02A2" w:rsidRDefault="00585A81" w:rsidP="00E764AA">
      <w:pPr>
        <w:pStyle w:val="ListParagraph"/>
        <w:numPr>
          <w:ilvl w:val="0"/>
          <w:numId w:val="16"/>
        </w:numPr>
        <w:spacing w:line="480" w:lineRule="auto"/>
        <w:ind w:left="360"/>
        <w:rPr>
          <w:rFonts w:cstheme="minorHAnsi"/>
          <w:sz w:val="24"/>
          <w:szCs w:val="24"/>
        </w:rPr>
      </w:pPr>
      <w:r w:rsidRPr="00BF02A2">
        <w:rPr>
          <w:rFonts w:cstheme="minorHAnsi"/>
          <w:sz w:val="24"/>
          <w:szCs w:val="24"/>
        </w:rPr>
        <w:t>Definitions</w:t>
      </w:r>
      <w:r w:rsidR="00771B8C" w:rsidRPr="00BF02A2">
        <w:rPr>
          <w:rFonts w:cstheme="minorHAnsi"/>
          <w:sz w:val="24"/>
          <w:szCs w:val="24"/>
        </w:rPr>
        <w:t xml:space="preserve"> of </w:t>
      </w:r>
      <w:r w:rsidR="00EB2AD9">
        <w:rPr>
          <w:rFonts w:cstheme="minorHAnsi"/>
          <w:sz w:val="24"/>
          <w:szCs w:val="24"/>
        </w:rPr>
        <w:t>‘</w:t>
      </w:r>
      <w:r w:rsidR="00771B8C" w:rsidRPr="00BF02A2">
        <w:rPr>
          <w:rFonts w:cstheme="minorHAnsi"/>
          <w:sz w:val="24"/>
          <w:szCs w:val="24"/>
        </w:rPr>
        <w:t>appropriate</w:t>
      </w:r>
      <w:r w:rsidR="00EB2AD9">
        <w:rPr>
          <w:rFonts w:cstheme="minorHAnsi"/>
          <w:sz w:val="24"/>
          <w:szCs w:val="24"/>
        </w:rPr>
        <w:t>’</w:t>
      </w:r>
      <w:r w:rsidR="00771B8C" w:rsidRPr="00BF02A2">
        <w:rPr>
          <w:rFonts w:cstheme="minorHAnsi"/>
          <w:sz w:val="24"/>
          <w:szCs w:val="24"/>
        </w:rPr>
        <w:t xml:space="preserve"> and </w:t>
      </w:r>
      <w:r w:rsidR="00EB2AD9">
        <w:rPr>
          <w:rFonts w:cstheme="minorHAnsi"/>
          <w:sz w:val="24"/>
          <w:szCs w:val="24"/>
        </w:rPr>
        <w:t>‘</w:t>
      </w:r>
      <w:r w:rsidR="00771B8C" w:rsidRPr="00BF02A2">
        <w:rPr>
          <w:rFonts w:cstheme="minorHAnsi"/>
          <w:sz w:val="24"/>
          <w:szCs w:val="24"/>
        </w:rPr>
        <w:t>inappropriate</w:t>
      </w:r>
      <w:r w:rsidR="00EB2AD9">
        <w:rPr>
          <w:rFonts w:cstheme="minorHAnsi"/>
          <w:sz w:val="24"/>
          <w:szCs w:val="24"/>
        </w:rPr>
        <w:t>’</w:t>
      </w:r>
      <w:r w:rsidR="00771B8C" w:rsidRPr="00BF02A2">
        <w:rPr>
          <w:rFonts w:cstheme="minorHAnsi"/>
          <w:sz w:val="24"/>
          <w:szCs w:val="24"/>
        </w:rPr>
        <w:t xml:space="preserve"> out</w:t>
      </w:r>
      <w:r w:rsidR="000E17FD">
        <w:rPr>
          <w:rFonts w:cstheme="minorHAnsi"/>
          <w:sz w:val="24"/>
          <w:szCs w:val="24"/>
        </w:rPr>
        <w:t>-</w:t>
      </w:r>
      <w:r w:rsidR="00771B8C" w:rsidRPr="00BF02A2">
        <w:rPr>
          <w:rFonts w:cstheme="minorHAnsi"/>
          <w:sz w:val="24"/>
          <w:szCs w:val="24"/>
        </w:rPr>
        <w:t>of</w:t>
      </w:r>
      <w:r w:rsidR="00E52DD8">
        <w:rPr>
          <w:rFonts w:cstheme="minorHAnsi"/>
          <w:sz w:val="24"/>
          <w:szCs w:val="24"/>
        </w:rPr>
        <w:t>-</w:t>
      </w:r>
      <w:r w:rsidR="00994403">
        <w:rPr>
          <w:rFonts w:cstheme="minorHAnsi"/>
          <w:sz w:val="24"/>
          <w:szCs w:val="24"/>
        </w:rPr>
        <w:t>area’</w:t>
      </w:r>
      <w:r w:rsidR="00771B8C" w:rsidRPr="00BF02A2">
        <w:rPr>
          <w:rFonts w:cstheme="minorHAnsi"/>
          <w:sz w:val="24"/>
          <w:szCs w:val="24"/>
        </w:rPr>
        <w:t xml:space="preserve"> bed </w:t>
      </w:r>
      <w:r w:rsidR="00324336" w:rsidRPr="00BF02A2">
        <w:rPr>
          <w:rFonts w:cstheme="minorHAnsi"/>
          <w:sz w:val="24"/>
          <w:szCs w:val="24"/>
        </w:rPr>
        <w:t>placements</w:t>
      </w:r>
      <w:r w:rsidR="006B2859">
        <w:rPr>
          <w:rFonts w:cstheme="minorHAnsi"/>
          <w:sz w:val="24"/>
          <w:szCs w:val="24"/>
        </w:rPr>
        <w:t>.</w:t>
      </w:r>
      <w:r w:rsidR="00E150ED" w:rsidRPr="00BF02A2">
        <w:rPr>
          <w:rFonts w:cstheme="minorHAnsi"/>
          <w:sz w:val="24"/>
          <w:szCs w:val="24"/>
        </w:rPr>
        <w:t xml:space="preserve"> </w:t>
      </w:r>
    </w:p>
    <w:p w14:paraId="12320764" w14:textId="5D7665E6" w:rsidR="00771B8C" w:rsidRPr="00BF02A2" w:rsidRDefault="00771B8C" w:rsidP="00E764AA">
      <w:pPr>
        <w:pStyle w:val="ListParagraph"/>
        <w:numPr>
          <w:ilvl w:val="0"/>
          <w:numId w:val="16"/>
        </w:numPr>
        <w:spacing w:line="480" w:lineRule="auto"/>
        <w:ind w:left="360"/>
        <w:rPr>
          <w:rFonts w:cstheme="minorHAnsi"/>
          <w:sz w:val="24"/>
          <w:szCs w:val="24"/>
        </w:rPr>
      </w:pPr>
      <w:r w:rsidRPr="00BF02A2">
        <w:rPr>
          <w:rFonts w:cstheme="minorHAnsi"/>
          <w:sz w:val="24"/>
          <w:szCs w:val="24"/>
        </w:rPr>
        <w:t xml:space="preserve">Process for </w:t>
      </w:r>
      <w:r w:rsidR="00D41EE1" w:rsidRPr="00BF02A2">
        <w:rPr>
          <w:rFonts w:cstheme="minorHAnsi"/>
          <w:sz w:val="24"/>
          <w:szCs w:val="24"/>
        </w:rPr>
        <w:t xml:space="preserve">the </w:t>
      </w:r>
      <w:r w:rsidR="004262C1" w:rsidRPr="00BF02A2">
        <w:rPr>
          <w:rFonts w:cstheme="minorHAnsi"/>
          <w:sz w:val="24"/>
          <w:szCs w:val="24"/>
        </w:rPr>
        <w:t>authori</w:t>
      </w:r>
      <w:r w:rsidR="00621700">
        <w:rPr>
          <w:rFonts w:cstheme="minorHAnsi"/>
          <w:sz w:val="24"/>
          <w:szCs w:val="24"/>
        </w:rPr>
        <w:t>s</w:t>
      </w:r>
      <w:r w:rsidR="004262C1" w:rsidRPr="00BF02A2">
        <w:rPr>
          <w:rFonts w:cstheme="minorHAnsi"/>
          <w:sz w:val="24"/>
          <w:szCs w:val="24"/>
        </w:rPr>
        <w:t xml:space="preserve">ation </w:t>
      </w:r>
      <w:r w:rsidR="00F65417" w:rsidRPr="00BF02A2">
        <w:rPr>
          <w:rFonts w:cstheme="minorHAnsi"/>
          <w:sz w:val="24"/>
          <w:szCs w:val="24"/>
        </w:rPr>
        <w:t xml:space="preserve">of </w:t>
      </w:r>
      <w:r w:rsidR="00994403">
        <w:rPr>
          <w:rFonts w:cstheme="minorHAnsi"/>
          <w:sz w:val="24"/>
          <w:szCs w:val="24"/>
        </w:rPr>
        <w:t>parallel searches</w:t>
      </w:r>
      <w:r w:rsidR="00C36C34">
        <w:rPr>
          <w:rFonts w:cstheme="minorHAnsi"/>
          <w:sz w:val="24"/>
          <w:szCs w:val="24"/>
        </w:rPr>
        <w:t xml:space="preserve"> for</w:t>
      </w:r>
      <w:r w:rsidR="00994403">
        <w:rPr>
          <w:rFonts w:cstheme="minorHAnsi"/>
          <w:sz w:val="24"/>
          <w:szCs w:val="24"/>
        </w:rPr>
        <w:t xml:space="preserve"> </w:t>
      </w:r>
      <w:r w:rsidR="00F65417" w:rsidRPr="00BF02A2">
        <w:rPr>
          <w:rFonts w:cstheme="minorHAnsi"/>
          <w:sz w:val="24"/>
          <w:szCs w:val="24"/>
        </w:rPr>
        <w:t>out</w:t>
      </w:r>
      <w:r w:rsidR="00B37048">
        <w:rPr>
          <w:rFonts w:cstheme="minorHAnsi"/>
          <w:sz w:val="24"/>
          <w:szCs w:val="24"/>
        </w:rPr>
        <w:t>-</w:t>
      </w:r>
      <w:r w:rsidR="00F65417" w:rsidRPr="00BF02A2">
        <w:rPr>
          <w:rFonts w:cstheme="minorHAnsi"/>
          <w:sz w:val="24"/>
          <w:szCs w:val="24"/>
        </w:rPr>
        <w:t>of</w:t>
      </w:r>
      <w:r w:rsidR="00B37048">
        <w:rPr>
          <w:rFonts w:cstheme="minorHAnsi"/>
          <w:sz w:val="24"/>
          <w:szCs w:val="24"/>
        </w:rPr>
        <w:t>-</w:t>
      </w:r>
      <w:r w:rsidR="00F65417" w:rsidRPr="00BF02A2">
        <w:rPr>
          <w:rFonts w:cstheme="minorHAnsi"/>
          <w:sz w:val="24"/>
          <w:szCs w:val="24"/>
        </w:rPr>
        <w:t>area placements (</w:t>
      </w:r>
      <w:r w:rsidR="00621700" w:rsidRPr="00BF02A2">
        <w:rPr>
          <w:rFonts w:cstheme="minorHAnsi"/>
          <w:sz w:val="24"/>
          <w:szCs w:val="24"/>
        </w:rPr>
        <w:t>i.e.,</w:t>
      </w:r>
      <w:r w:rsidR="00F65417" w:rsidRPr="00BF02A2">
        <w:rPr>
          <w:rFonts w:cstheme="minorHAnsi"/>
          <w:sz w:val="24"/>
          <w:szCs w:val="24"/>
        </w:rPr>
        <w:t xml:space="preserve"> for</w:t>
      </w:r>
      <w:r w:rsidR="00994403">
        <w:rPr>
          <w:rFonts w:cstheme="minorHAnsi"/>
          <w:sz w:val="24"/>
          <w:szCs w:val="24"/>
        </w:rPr>
        <w:t xml:space="preserve"> </w:t>
      </w:r>
      <w:r w:rsidR="005F237F" w:rsidRPr="00BF02A2">
        <w:rPr>
          <w:rFonts w:cstheme="minorHAnsi"/>
          <w:sz w:val="24"/>
          <w:szCs w:val="24"/>
        </w:rPr>
        <w:t>clients</w:t>
      </w:r>
      <w:r w:rsidR="002B1613" w:rsidRPr="00BF02A2">
        <w:rPr>
          <w:rFonts w:cstheme="minorHAnsi"/>
          <w:sz w:val="24"/>
          <w:szCs w:val="24"/>
        </w:rPr>
        <w:t xml:space="preserve"> </w:t>
      </w:r>
      <w:r w:rsidR="008272C2" w:rsidRPr="00BF02A2">
        <w:rPr>
          <w:rFonts w:cstheme="minorHAnsi"/>
          <w:sz w:val="24"/>
          <w:szCs w:val="24"/>
        </w:rPr>
        <w:t>who required a</w:t>
      </w:r>
      <w:r w:rsidR="00994403">
        <w:rPr>
          <w:rFonts w:cstheme="minorHAnsi"/>
          <w:sz w:val="24"/>
          <w:szCs w:val="24"/>
        </w:rPr>
        <w:t>n urgent</w:t>
      </w:r>
      <w:r w:rsidR="008272C2" w:rsidRPr="00BF02A2">
        <w:rPr>
          <w:rFonts w:cstheme="minorHAnsi"/>
          <w:sz w:val="24"/>
          <w:szCs w:val="24"/>
        </w:rPr>
        <w:t xml:space="preserve"> bed </w:t>
      </w:r>
      <w:r w:rsidR="00994403">
        <w:rPr>
          <w:rFonts w:cstheme="minorHAnsi"/>
          <w:sz w:val="24"/>
          <w:szCs w:val="24"/>
        </w:rPr>
        <w:t xml:space="preserve">which </w:t>
      </w:r>
      <w:r w:rsidR="002B1613" w:rsidRPr="00BF02A2">
        <w:rPr>
          <w:rFonts w:cstheme="minorHAnsi"/>
          <w:sz w:val="24"/>
          <w:szCs w:val="24"/>
        </w:rPr>
        <w:t>CAP w</w:t>
      </w:r>
      <w:r w:rsidR="008272C2" w:rsidRPr="00BF02A2">
        <w:rPr>
          <w:rFonts w:cstheme="minorHAnsi"/>
          <w:sz w:val="24"/>
          <w:szCs w:val="24"/>
        </w:rPr>
        <w:t>as</w:t>
      </w:r>
      <w:r w:rsidR="002B1613" w:rsidRPr="00BF02A2">
        <w:rPr>
          <w:rFonts w:cstheme="minorHAnsi"/>
          <w:sz w:val="24"/>
          <w:szCs w:val="24"/>
        </w:rPr>
        <w:t xml:space="preserve"> unable to </w:t>
      </w:r>
      <w:r w:rsidR="00994403">
        <w:rPr>
          <w:rFonts w:cstheme="minorHAnsi"/>
          <w:sz w:val="24"/>
          <w:szCs w:val="24"/>
        </w:rPr>
        <w:t xml:space="preserve">offer </w:t>
      </w:r>
      <w:r w:rsidR="008272C2" w:rsidRPr="00BF02A2">
        <w:rPr>
          <w:rFonts w:cstheme="minorHAnsi"/>
          <w:sz w:val="24"/>
          <w:szCs w:val="24"/>
        </w:rPr>
        <w:t>within</w:t>
      </w:r>
      <w:r w:rsidR="002B1613" w:rsidRPr="00BF02A2">
        <w:rPr>
          <w:rFonts w:cstheme="minorHAnsi"/>
          <w:sz w:val="24"/>
          <w:szCs w:val="24"/>
        </w:rPr>
        <w:t xml:space="preserve"> the </w:t>
      </w:r>
      <w:r w:rsidR="00994403">
        <w:rPr>
          <w:rFonts w:cstheme="minorHAnsi"/>
          <w:sz w:val="24"/>
          <w:szCs w:val="24"/>
        </w:rPr>
        <w:t>PC</w:t>
      </w:r>
      <w:r w:rsidR="002B1613" w:rsidRPr="00BF02A2">
        <w:rPr>
          <w:rFonts w:cstheme="minorHAnsi"/>
          <w:sz w:val="24"/>
          <w:szCs w:val="24"/>
        </w:rPr>
        <w:t>)</w:t>
      </w:r>
      <w:r w:rsidR="00B30D44" w:rsidRPr="00BF02A2">
        <w:rPr>
          <w:rFonts w:cstheme="minorHAnsi"/>
          <w:sz w:val="24"/>
          <w:szCs w:val="24"/>
        </w:rPr>
        <w:t xml:space="preserve">. </w:t>
      </w:r>
    </w:p>
    <w:p w14:paraId="29299F91" w14:textId="5788AF9C" w:rsidR="00802DA4" w:rsidRDefault="00DF26A3" w:rsidP="00E764AA">
      <w:pPr>
        <w:pStyle w:val="ListParagraph"/>
        <w:spacing w:line="480" w:lineRule="auto"/>
        <w:ind w:left="0"/>
        <w:rPr>
          <w:rFonts w:cstheme="minorHAnsi"/>
          <w:sz w:val="24"/>
          <w:szCs w:val="24"/>
        </w:rPr>
      </w:pPr>
      <w:r w:rsidRPr="00BF02A2">
        <w:rPr>
          <w:rFonts w:cstheme="minorHAnsi"/>
          <w:sz w:val="24"/>
          <w:szCs w:val="24"/>
        </w:rPr>
        <w:t>A</w:t>
      </w:r>
      <w:r w:rsidR="00024DC1" w:rsidRPr="00BF02A2">
        <w:rPr>
          <w:rFonts w:cstheme="minorHAnsi"/>
          <w:sz w:val="24"/>
          <w:szCs w:val="24"/>
        </w:rPr>
        <w:t xml:space="preserve">ll referrals came through </w:t>
      </w:r>
      <w:r w:rsidR="00314383" w:rsidRPr="00BF02A2">
        <w:rPr>
          <w:rFonts w:cstheme="minorHAnsi"/>
          <w:sz w:val="24"/>
          <w:szCs w:val="24"/>
        </w:rPr>
        <w:t xml:space="preserve">the SPA. </w:t>
      </w:r>
      <w:r w:rsidR="000A79C6" w:rsidRPr="00BF02A2">
        <w:rPr>
          <w:rFonts w:cstheme="minorHAnsi"/>
          <w:sz w:val="24"/>
          <w:szCs w:val="24"/>
        </w:rPr>
        <w:t xml:space="preserve">Within the context </w:t>
      </w:r>
      <w:r w:rsidR="008D5E96" w:rsidRPr="00BF02A2">
        <w:rPr>
          <w:rFonts w:cstheme="minorHAnsi"/>
          <w:sz w:val="24"/>
          <w:szCs w:val="24"/>
        </w:rPr>
        <w:t>of a</w:t>
      </w:r>
      <w:r w:rsidR="000A79C6" w:rsidRPr="00BF02A2">
        <w:rPr>
          <w:rFonts w:cstheme="minorHAnsi"/>
          <w:sz w:val="24"/>
          <w:szCs w:val="24"/>
        </w:rPr>
        <w:t xml:space="preserve"> national shortage of beds and severe pressures on under</w:t>
      </w:r>
      <w:r w:rsidR="008D5E96" w:rsidRPr="00BF02A2">
        <w:rPr>
          <w:rFonts w:cstheme="minorHAnsi"/>
          <w:sz w:val="24"/>
          <w:szCs w:val="24"/>
        </w:rPr>
        <w:t>-</w:t>
      </w:r>
      <w:r w:rsidR="000A79C6" w:rsidRPr="00BF02A2">
        <w:rPr>
          <w:rFonts w:cstheme="minorHAnsi"/>
          <w:sz w:val="24"/>
          <w:szCs w:val="24"/>
        </w:rPr>
        <w:t>resourced community teams</w:t>
      </w:r>
      <w:r w:rsidR="00B05A38" w:rsidRPr="00BF02A2">
        <w:rPr>
          <w:rFonts w:cstheme="minorHAnsi"/>
          <w:sz w:val="24"/>
          <w:szCs w:val="24"/>
        </w:rPr>
        <w:t xml:space="preserve"> to manage very unwell </w:t>
      </w:r>
      <w:r w:rsidR="005D7D54" w:rsidRPr="00BF02A2">
        <w:rPr>
          <w:rFonts w:cstheme="minorHAnsi"/>
          <w:sz w:val="24"/>
          <w:szCs w:val="24"/>
        </w:rPr>
        <w:t>clients</w:t>
      </w:r>
      <w:r w:rsidR="00B05A38" w:rsidRPr="00BF02A2">
        <w:rPr>
          <w:rFonts w:cstheme="minorHAnsi"/>
          <w:sz w:val="24"/>
          <w:szCs w:val="24"/>
        </w:rPr>
        <w:t xml:space="preserve"> while waiting for </w:t>
      </w:r>
      <w:r w:rsidR="008D5E96" w:rsidRPr="00BF02A2">
        <w:rPr>
          <w:rFonts w:cstheme="minorHAnsi"/>
          <w:sz w:val="24"/>
          <w:szCs w:val="24"/>
        </w:rPr>
        <w:t xml:space="preserve">a </w:t>
      </w:r>
      <w:r w:rsidR="00B05A38" w:rsidRPr="00BF02A2">
        <w:rPr>
          <w:rFonts w:cstheme="minorHAnsi"/>
          <w:sz w:val="24"/>
          <w:szCs w:val="24"/>
        </w:rPr>
        <w:t xml:space="preserve">bed, </w:t>
      </w:r>
      <w:r w:rsidR="00DC5A00" w:rsidRPr="00BF02A2">
        <w:rPr>
          <w:rFonts w:cstheme="minorHAnsi"/>
          <w:sz w:val="24"/>
          <w:szCs w:val="24"/>
        </w:rPr>
        <w:t>providers initially</w:t>
      </w:r>
      <w:r w:rsidR="00BA4EF7">
        <w:rPr>
          <w:rFonts w:cstheme="minorHAnsi"/>
          <w:sz w:val="24"/>
          <w:szCs w:val="24"/>
        </w:rPr>
        <w:t>,</w:t>
      </w:r>
      <w:r w:rsidR="00D23CA2" w:rsidRPr="00BF02A2">
        <w:rPr>
          <w:rFonts w:cstheme="minorHAnsi"/>
          <w:sz w:val="24"/>
          <w:szCs w:val="24"/>
        </w:rPr>
        <w:t xml:space="preserve"> as would be expected, wanted </w:t>
      </w:r>
      <w:r w:rsidR="00D1240B" w:rsidRPr="00BF02A2">
        <w:rPr>
          <w:rFonts w:cstheme="minorHAnsi"/>
          <w:sz w:val="24"/>
          <w:szCs w:val="24"/>
        </w:rPr>
        <w:t xml:space="preserve">their </w:t>
      </w:r>
      <w:r w:rsidR="00BA4EF7">
        <w:rPr>
          <w:rFonts w:cstheme="minorHAnsi"/>
          <w:sz w:val="24"/>
          <w:szCs w:val="24"/>
        </w:rPr>
        <w:t xml:space="preserve">own </w:t>
      </w:r>
      <w:r w:rsidR="008B1B54">
        <w:rPr>
          <w:rFonts w:cstheme="minorHAnsi"/>
          <w:sz w:val="24"/>
          <w:szCs w:val="24"/>
        </w:rPr>
        <w:t>client</w:t>
      </w:r>
      <w:r w:rsidR="008D5E96" w:rsidRPr="00BF02A2">
        <w:rPr>
          <w:rFonts w:cstheme="minorHAnsi"/>
          <w:sz w:val="24"/>
          <w:szCs w:val="24"/>
        </w:rPr>
        <w:t>s</w:t>
      </w:r>
      <w:r w:rsidR="00D1240B" w:rsidRPr="00BF02A2">
        <w:rPr>
          <w:rFonts w:cstheme="minorHAnsi"/>
          <w:sz w:val="24"/>
          <w:szCs w:val="24"/>
        </w:rPr>
        <w:t xml:space="preserve"> to be prioritised</w:t>
      </w:r>
      <w:r w:rsidR="00CF7449" w:rsidRPr="00BF02A2">
        <w:rPr>
          <w:rFonts w:cstheme="minorHAnsi"/>
          <w:sz w:val="24"/>
          <w:szCs w:val="24"/>
        </w:rPr>
        <w:t xml:space="preserve"> at the CAP meetings</w:t>
      </w:r>
      <w:r w:rsidR="00D1240B" w:rsidRPr="00BF02A2">
        <w:rPr>
          <w:rFonts w:cstheme="minorHAnsi"/>
          <w:sz w:val="24"/>
          <w:szCs w:val="24"/>
        </w:rPr>
        <w:t xml:space="preserve">. </w:t>
      </w:r>
      <w:r w:rsidR="000520AF">
        <w:rPr>
          <w:rFonts w:cstheme="minorHAnsi"/>
          <w:sz w:val="24"/>
          <w:szCs w:val="24"/>
        </w:rPr>
        <w:t>Over time</w:t>
      </w:r>
      <w:r w:rsidR="00D1240B" w:rsidRPr="00BF02A2">
        <w:rPr>
          <w:rFonts w:cstheme="minorHAnsi"/>
          <w:sz w:val="24"/>
          <w:szCs w:val="24"/>
        </w:rPr>
        <w:t xml:space="preserve"> the CAP became a forum where clinicians took </w:t>
      </w:r>
      <w:r w:rsidR="007E288E" w:rsidRPr="00BF02A2">
        <w:rPr>
          <w:rFonts w:cstheme="minorHAnsi"/>
          <w:sz w:val="24"/>
          <w:szCs w:val="24"/>
        </w:rPr>
        <w:t xml:space="preserve">collaborative </w:t>
      </w:r>
      <w:r w:rsidR="00E46B1B">
        <w:rPr>
          <w:rFonts w:cstheme="minorHAnsi"/>
          <w:sz w:val="24"/>
          <w:szCs w:val="24"/>
        </w:rPr>
        <w:t>ownership</w:t>
      </w:r>
      <w:r w:rsidR="00AE7593" w:rsidRPr="00BF02A2">
        <w:rPr>
          <w:rFonts w:cstheme="minorHAnsi"/>
          <w:sz w:val="24"/>
          <w:szCs w:val="24"/>
        </w:rPr>
        <w:t xml:space="preserve"> and </w:t>
      </w:r>
      <w:r w:rsidR="00DC2035" w:rsidRPr="00BF02A2">
        <w:rPr>
          <w:rFonts w:cstheme="minorHAnsi"/>
          <w:sz w:val="24"/>
          <w:szCs w:val="24"/>
        </w:rPr>
        <w:t xml:space="preserve">shared </w:t>
      </w:r>
      <w:r w:rsidR="00AE7593" w:rsidRPr="00BF02A2">
        <w:rPr>
          <w:rFonts w:cstheme="minorHAnsi"/>
          <w:sz w:val="24"/>
          <w:szCs w:val="24"/>
        </w:rPr>
        <w:t xml:space="preserve">responsibility for </w:t>
      </w:r>
      <w:r w:rsidR="007E288E" w:rsidRPr="00BF02A2">
        <w:rPr>
          <w:rFonts w:cstheme="minorHAnsi"/>
          <w:sz w:val="24"/>
          <w:szCs w:val="24"/>
        </w:rPr>
        <w:t xml:space="preserve">all </w:t>
      </w:r>
      <w:r w:rsidR="008B1B54">
        <w:rPr>
          <w:rFonts w:cstheme="minorHAnsi"/>
          <w:sz w:val="24"/>
          <w:szCs w:val="24"/>
        </w:rPr>
        <w:t>client</w:t>
      </w:r>
      <w:r w:rsidR="00AE7593" w:rsidRPr="00BF02A2">
        <w:rPr>
          <w:rFonts w:cstheme="minorHAnsi"/>
          <w:sz w:val="24"/>
          <w:szCs w:val="24"/>
        </w:rPr>
        <w:t xml:space="preserve">s </w:t>
      </w:r>
      <w:r w:rsidR="00544AF2">
        <w:rPr>
          <w:rFonts w:cstheme="minorHAnsi"/>
          <w:sz w:val="24"/>
          <w:szCs w:val="24"/>
        </w:rPr>
        <w:t>in t</w:t>
      </w:r>
      <w:r w:rsidR="00AE7593" w:rsidRPr="00BF02A2">
        <w:rPr>
          <w:rFonts w:cstheme="minorHAnsi"/>
          <w:sz w:val="24"/>
          <w:szCs w:val="24"/>
        </w:rPr>
        <w:t>he network when it came to the</w:t>
      </w:r>
      <w:r w:rsidR="001A3522" w:rsidRPr="00BF02A2">
        <w:rPr>
          <w:rFonts w:cstheme="minorHAnsi"/>
          <w:sz w:val="24"/>
          <w:szCs w:val="24"/>
        </w:rPr>
        <w:t xml:space="preserve"> allocation of beds and decisions on which </w:t>
      </w:r>
      <w:r w:rsidR="008B1B54">
        <w:rPr>
          <w:rFonts w:cstheme="minorHAnsi"/>
          <w:sz w:val="24"/>
          <w:szCs w:val="24"/>
        </w:rPr>
        <w:t>client</w:t>
      </w:r>
      <w:r w:rsidR="001A3522" w:rsidRPr="00BF02A2">
        <w:rPr>
          <w:rFonts w:cstheme="minorHAnsi"/>
          <w:sz w:val="24"/>
          <w:szCs w:val="24"/>
        </w:rPr>
        <w:t xml:space="preserve">s had to continue waiting. Having the SOP and previously agreed criteria for </w:t>
      </w:r>
      <w:r w:rsidR="00DC2035" w:rsidRPr="00BF02A2">
        <w:rPr>
          <w:rFonts w:cstheme="minorHAnsi"/>
          <w:sz w:val="24"/>
          <w:szCs w:val="24"/>
        </w:rPr>
        <w:t>‘</w:t>
      </w:r>
      <w:r w:rsidR="001A3522" w:rsidRPr="00BF02A2">
        <w:rPr>
          <w:rFonts w:cstheme="minorHAnsi"/>
          <w:sz w:val="24"/>
          <w:szCs w:val="24"/>
        </w:rPr>
        <w:t>emergency</w:t>
      </w:r>
      <w:r w:rsidR="00DC2035" w:rsidRPr="00BF02A2">
        <w:rPr>
          <w:rFonts w:cstheme="minorHAnsi"/>
          <w:sz w:val="24"/>
          <w:szCs w:val="24"/>
        </w:rPr>
        <w:t>’</w:t>
      </w:r>
      <w:r w:rsidR="001A3522" w:rsidRPr="00BF02A2">
        <w:rPr>
          <w:rFonts w:cstheme="minorHAnsi"/>
          <w:sz w:val="24"/>
          <w:szCs w:val="24"/>
        </w:rPr>
        <w:t xml:space="preserve">, </w:t>
      </w:r>
      <w:r w:rsidR="00DC2035" w:rsidRPr="00BF02A2">
        <w:rPr>
          <w:rFonts w:cstheme="minorHAnsi"/>
          <w:sz w:val="24"/>
          <w:szCs w:val="24"/>
        </w:rPr>
        <w:t>‘</w:t>
      </w:r>
      <w:r w:rsidR="001A3522" w:rsidRPr="00BF02A2">
        <w:rPr>
          <w:rFonts w:cstheme="minorHAnsi"/>
          <w:sz w:val="24"/>
          <w:szCs w:val="24"/>
        </w:rPr>
        <w:t>urgent</w:t>
      </w:r>
      <w:r w:rsidR="00DC2035" w:rsidRPr="00BF02A2">
        <w:rPr>
          <w:rFonts w:cstheme="minorHAnsi"/>
          <w:sz w:val="24"/>
          <w:szCs w:val="24"/>
        </w:rPr>
        <w:t>’</w:t>
      </w:r>
      <w:r w:rsidR="001A3522" w:rsidRPr="00BF02A2">
        <w:rPr>
          <w:rFonts w:cstheme="minorHAnsi"/>
          <w:sz w:val="24"/>
          <w:szCs w:val="24"/>
        </w:rPr>
        <w:t xml:space="preserve"> and </w:t>
      </w:r>
      <w:r w:rsidR="00DC2035" w:rsidRPr="00BF02A2">
        <w:rPr>
          <w:rFonts w:cstheme="minorHAnsi"/>
          <w:sz w:val="24"/>
          <w:szCs w:val="24"/>
        </w:rPr>
        <w:t>‘</w:t>
      </w:r>
      <w:r w:rsidR="001A3522" w:rsidRPr="00BF02A2">
        <w:rPr>
          <w:rFonts w:cstheme="minorHAnsi"/>
          <w:sz w:val="24"/>
          <w:szCs w:val="24"/>
        </w:rPr>
        <w:t>routine</w:t>
      </w:r>
      <w:r w:rsidR="00DC2035" w:rsidRPr="00BF02A2">
        <w:rPr>
          <w:rFonts w:cstheme="minorHAnsi"/>
          <w:sz w:val="24"/>
          <w:szCs w:val="24"/>
        </w:rPr>
        <w:t>’</w:t>
      </w:r>
      <w:r w:rsidR="001A3522" w:rsidRPr="00BF02A2">
        <w:rPr>
          <w:rFonts w:cstheme="minorHAnsi"/>
          <w:sz w:val="24"/>
          <w:szCs w:val="24"/>
        </w:rPr>
        <w:t xml:space="preserve"> referrals were </w:t>
      </w:r>
      <w:r w:rsidR="00FA60F6" w:rsidRPr="00BF02A2">
        <w:rPr>
          <w:rFonts w:cstheme="minorHAnsi"/>
          <w:sz w:val="24"/>
          <w:szCs w:val="24"/>
        </w:rPr>
        <w:t xml:space="preserve">key </w:t>
      </w:r>
      <w:r w:rsidR="001A3522" w:rsidRPr="00BF02A2">
        <w:rPr>
          <w:rFonts w:cstheme="minorHAnsi"/>
          <w:sz w:val="24"/>
          <w:szCs w:val="24"/>
        </w:rPr>
        <w:t xml:space="preserve">in this </w:t>
      </w:r>
      <w:r w:rsidR="008F4F75">
        <w:rPr>
          <w:rFonts w:cstheme="minorHAnsi"/>
          <w:sz w:val="24"/>
          <w:szCs w:val="24"/>
        </w:rPr>
        <w:t>collaborative</w:t>
      </w:r>
      <w:r w:rsidR="00AC2E6A" w:rsidRPr="00BF02A2">
        <w:rPr>
          <w:rFonts w:cstheme="minorHAnsi"/>
          <w:sz w:val="24"/>
          <w:szCs w:val="24"/>
        </w:rPr>
        <w:t xml:space="preserve"> </w:t>
      </w:r>
      <w:r w:rsidR="00B4202A" w:rsidRPr="00BF02A2">
        <w:rPr>
          <w:rFonts w:cstheme="minorHAnsi"/>
          <w:sz w:val="24"/>
          <w:szCs w:val="24"/>
        </w:rPr>
        <w:t>decision-making</w:t>
      </w:r>
      <w:r w:rsidR="00DC2035" w:rsidRPr="00BF02A2">
        <w:rPr>
          <w:rFonts w:cstheme="minorHAnsi"/>
          <w:sz w:val="24"/>
          <w:szCs w:val="24"/>
        </w:rPr>
        <w:t xml:space="preserve"> </w:t>
      </w:r>
      <w:r w:rsidR="001A3522" w:rsidRPr="00BF02A2">
        <w:rPr>
          <w:rFonts w:cstheme="minorHAnsi"/>
          <w:sz w:val="24"/>
          <w:szCs w:val="24"/>
        </w:rPr>
        <w:t xml:space="preserve">process. </w:t>
      </w:r>
    </w:p>
    <w:p w14:paraId="3CD2AC89" w14:textId="77777777" w:rsidR="00081812" w:rsidRPr="00BF02A2" w:rsidRDefault="00081812" w:rsidP="00E764AA">
      <w:pPr>
        <w:pStyle w:val="ListParagraph"/>
        <w:spacing w:line="480" w:lineRule="auto"/>
        <w:ind w:left="0"/>
        <w:rPr>
          <w:rFonts w:cstheme="minorHAnsi"/>
          <w:sz w:val="24"/>
          <w:szCs w:val="24"/>
        </w:rPr>
      </w:pPr>
    </w:p>
    <w:p w14:paraId="0437B075" w14:textId="316BA69E" w:rsidR="00C048B0" w:rsidRDefault="00C048B0" w:rsidP="00E764AA">
      <w:pPr>
        <w:spacing w:line="480" w:lineRule="auto"/>
        <w:rPr>
          <w:rFonts w:cstheme="minorHAnsi"/>
          <w:b/>
          <w:bCs/>
          <w:sz w:val="24"/>
          <w:szCs w:val="24"/>
        </w:rPr>
      </w:pPr>
      <w:r>
        <w:rPr>
          <w:rFonts w:cstheme="minorHAnsi"/>
          <w:b/>
          <w:bCs/>
          <w:sz w:val="24"/>
          <w:szCs w:val="24"/>
        </w:rPr>
        <w:t>Outcomes</w:t>
      </w:r>
    </w:p>
    <w:p w14:paraId="64A7590F" w14:textId="161C8BAD" w:rsidR="008E2668" w:rsidRPr="00BF02A2" w:rsidRDefault="008300E6" w:rsidP="00E764AA">
      <w:pPr>
        <w:spacing w:line="480" w:lineRule="auto"/>
        <w:rPr>
          <w:rFonts w:cstheme="minorHAnsi"/>
          <w:sz w:val="24"/>
          <w:szCs w:val="24"/>
        </w:rPr>
      </w:pPr>
      <w:r w:rsidRPr="00BF02A2">
        <w:rPr>
          <w:rFonts w:cstheme="minorHAnsi"/>
          <w:sz w:val="24"/>
          <w:szCs w:val="24"/>
        </w:rPr>
        <w:t>During the 13-month pilot (1st August 2018 - 31st August 2019)</w:t>
      </w:r>
      <w:r w:rsidR="00E9280B" w:rsidRPr="00BF02A2">
        <w:rPr>
          <w:rFonts w:cstheme="minorHAnsi"/>
          <w:sz w:val="24"/>
          <w:szCs w:val="24"/>
        </w:rPr>
        <w:t>,</w:t>
      </w:r>
      <w:r w:rsidRPr="00BF02A2">
        <w:rPr>
          <w:rFonts w:cstheme="minorHAnsi"/>
          <w:sz w:val="24"/>
          <w:szCs w:val="24"/>
        </w:rPr>
        <w:t xml:space="preserve"> 282 </w:t>
      </w:r>
      <w:r w:rsidR="00072D5C" w:rsidRPr="00BF02A2">
        <w:rPr>
          <w:rFonts w:cstheme="minorHAnsi"/>
          <w:sz w:val="24"/>
          <w:szCs w:val="24"/>
        </w:rPr>
        <w:t>client</w:t>
      </w:r>
      <w:r w:rsidRPr="00BF02A2">
        <w:rPr>
          <w:rFonts w:cstheme="minorHAnsi"/>
          <w:sz w:val="24"/>
          <w:szCs w:val="24"/>
        </w:rPr>
        <w:t xml:space="preserve">s were referred to the network via </w:t>
      </w:r>
      <w:r w:rsidR="0054601B" w:rsidRPr="00BF02A2">
        <w:rPr>
          <w:rFonts w:cstheme="minorHAnsi"/>
          <w:sz w:val="24"/>
          <w:szCs w:val="24"/>
        </w:rPr>
        <w:t>SPA</w:t>
      </w:r>
      <w:r w:rsidRPr="00BF02A2">
        <w:rPr>
          <w:rFonts w:cstheme="minorHAnsi"/>
          <w:sz w:val="24"/>
          <w:szCs w:val="24"/>
        </w:rPr>
        <w:t xml:space="preserve">. </w:t>
      </w:r>
      <w:r w:rsidR="00BE6800" w:rsidRPr="00BF02A2">
        <w:rPr>
          <w:rFonts w:cstheme="minorHAnsi"/>
          <w:sz w:val="24"/>
          <w:szCs w:val="24"/>
        </w:rPr>
        <w:t xml:space="preserve">96% were female. </w:t>
      </w:r>
      <w:r w:rsidR="00F3718E" w:rsidRPr="00BF02A2">
        <w:rPr>
          <w:rFonts w:cstheme="minorHAnsi"/>
          <w:sz w:val="24"/>
          <w:szCs w:val="24"/>
        </w:rPr>
        <w:t>Mean age was 31.2 years (range 17-67</w:t>
      </w:r>
      <w:r w:rsidR="00B91677" w:rsidRPr="00BF02A2">
        <w:rPr>
          <w:rFonts w:cstheme="minorHAnsi"/>
          <w:sz w:val="24"/>
          <w:szCs w:val="24"/>
        </w:rPr>
        <w:t xml:space="preserve">). </w:t>
      </w:r>
      <w:r w:rsidR="0084552E" w:rsidRPr="00BF02A2">
        <w:rPr>
          <w:rFonts w:cstheme="minorHAnsi"/>
          <w:sz w:val="24"/>
          <w:szCs w:val="24"/>
        </w:rPr>
        <w:t xml:space="preserve">21% of referrals had potentially life-threatening levels of malnutrition and BMI’s below 13. </w:t>
      </w:r>
      <w:r w:rsidR="008E2668" w:rsidRPr="00BF02A2">
        <w:rPr>
          <w:rFonts w:cstheme="minorHAnsi"/>
          <w:sz w:val="24"/>
          <w:szCs w:val="24"/>
        </w:rPr>
        <w:t xml:space="preserve">According to the DSM-5 </w:t>
      </w:r>
      <w:r w:rsidR="00480567" w:rsidRPr="00BF02A2">
        <w:rPr>
          <w:rFonts w:cstheme="minorHAnsi"/>
          <w:sz w:val="24"/>
          <w:szCs w:val="24"/>
        </w:rPr>
        <w:t xml:space="preserve">(2013) </w:t>
      </w:r>
      <w:r w:rsidR="008E2668" w:rsidRPr="00BF02A2">
        <w:rPr>
          <w:rFonts w:cstheme="minorHAnsi"/>
          <w:sz w:val="24"/>
          <w:szCs w:val="24"/>
        </w:rPr>
        <w:t>severity ratings, 59% of referrals had extreme</w:t>
      </w:r>
      <w:r w:rsidR="0049428A">
        <w:rPr>
          <w:rFonts w:cstheme="minorHAnsi"/>
          <w:sz w:val="24"/>
          <w:szCs w:val="24"/>
        </w:rPr>
        <w:t xml:space="preserve"> AN (</w:t>
      </w:r>
      <w:r w:rsidR="008E2668" w:rsidRPr="00BF02A2">
        <w:rPr>
          <w:rFonts w:cstheme="minorHAnsi"/>
          <w:sz w:val="24"/>
          <w:szCs w:val="24"/>
        </w:rPr>
        <w:t>BMI &lt;15)</w:t>
      </w:r>
      <w:r w:rsidR="004D36BB" w:rsidRPr="00BF02A2">
        <w:rPr>
          <w:rFonts w:cstheme="minorHAnsi"/>
          <w:sz w:val="24"/>
          <w:szCs w:val="24"/>
        </w:rPr>
        <w:t xml:space="preserve"> and</w:t>
      </w:r>
      <w:r w:rsidR="000D4541" w:rsidRPr="00BF02A2">
        <w:rPr>
          <w:rFonts w:cstheme="minorHAnsi"/>
          <w:sz w:val="24"/>
          <w:szCs w:val="24"/>
        </w:rPr>
        <w:t xml:space="preserve"> </w:t>
      </w:r>
      <w:r w:rsidR="00143F9C" w:rsidRPr="00BF02A2">
        <w:rPr>
          <w:rFonts w:cstheme="minorHAnsi"/>
          <w:sz w:val="24"/>
          <w:szCs w:val="24"/>
        </w:rPr>
        <w:t xml:space="preserve">18% </w:t>
      </w:r>
      <w:r w:rsidR="004D36BB" w:rsidRPr="00BF02A2">
        <w:rPr>
          <w:rFonts w:cstheme="minorHAnsi"/>
          <w:sz w:val="24"/>
          <w:szCs w:val="24"/>
        </w:rPr>
        <w:t xml:space="preserve">had </w:t>
      </w:r>
      <w:r w:rsidR="00262358" w:rsidRPr="00BF02A2">
        <w:rPr>
          <w:rFonts w:cstheme="minorHAnsi"/>
          <w:sz w:val="24"/>
          <w:szCs w:val="24"/>
        </w:rPr>
        <w:t>severe AN (BMI 15-16)</w:t>
      </w:r>
      <w:r w:rsidR="008E2668" w:rsidRPr="00BF02A2">
        <w:rPr>
          <w:rFonts w:cstheme="minorHAnsi"/>
          <w:sz w:val="24"/>
          <w:szCs w:val="24"/>
        </w:rPr>
        <w:t xml:space="preserve">. </w:t>
      </w:r>
      <w:r w:rsidR="00D15751" w:rsidRPr="00BF02A2">
        <w:rPr>
          <w:rFonts w:cstheme="minorHAnsi"/>
          <w:sz w:val="24"/>
          <w:szCs w:val="24"/>
        </w:rPr>
        <w:t>6</w:t>
      </w:r>
      <w:r w:rsidR="00A60FB7" w:rsidRPr="00BF02A2">
        <w:rPr>
          <w:rFonts w:cstheme="minorHAnsi"/>
          <w:sz w:val="24"/>
          <w:szCs w:val="24"/>
        </w:rPr>
        <w:t xml:space="preserve">% </w:t>
      </w:r>
      <w:r w:rsidR="008E2668" w:rsidRPr="00BF02A2">
        <w:rPr>
          <w:rFonts w:cstheme="minorHAnsi"/>
          <w:sz w:val="24"/>
          <w:szCs w:val="24"/>
        </w:rPr>
        <w:t>of referrals were deemed</w:t>
      </w:r>
      <w:r w:rsidR="00041B6A" w:rsidRPr="00BF02A2">
        <w:rPr>
          <w:rFonts w:cstheme="minorHAnsi"/>
          <w:sz w:val="24"/>
          <w:szCs w:val="24"/>
        </w:rPr>
        <w:t xml:space="preserve"> </w:t>
      </w:r>
      <w:r w:rsidR="008E2668" w:rsidRPr="00BF02A2">
        <w:rPr>
          <w:rFonts w:cstheme="minorHAnsi"/>
          <w:sz w:val="24"/>
          <w:szCs w:val="24"/>
        </w:rPr>
        <w:t>emergency</w:t>
      </w:r>
      <w:r w:rsidR="00A1303F" w:rsidRPr="00BF02A2">
        <w:rPr>
          <w:rFonts w:cstheme="minorHAnsi"/>
          <w:sz w:val="24"/>
          <w:szCs w:val="24"/>
        </w:rPr>
        <w:t xml:space="preserve"> </w:t>
      </w:r>
      <w:r w:rsidR="0077592F">
        <w:rPr>
          <w:rFonts w:cstheme="minorHAnsi"/>
          <w:sz w:val="24"/>
          <w:szCs w:val="24"/>
        </w:rPr>
        <w:t>and</w:t>
      </w:r>
      <w:r w:rsidR="00093CB9" w:rsidRPr="00BF02A2">
        <w:rPr>
          <w:rFonts w:cstheme="minorHAnsi"/>
          <w:sz w:val="24"/>
          <w:szCs w:val="24"/>
        </w:rPr>
        <w:t xml:space="preserve"> </w:t>
      </w:r>
      <w:r w:rsidR="00A0130D">
        <w:rPr>
          <w:rFonts w:cstheme="minorHAnsi"/>
          <w:sz w:val="24"/>
          <w:szCs w:val="24"/>
        </w:rPr>
        <w:t xml:space="preserve">59% as </w:t>
      </w:r>
      <w:r w:rsidR="008E2668" w:rsidRPr="00BF02A2">
        <w:rPr>
          <w:rFonts w:cstheme="minorHAnsi"/>
          <w:sz w:val="24"/>
          <w:szCs w:val="24"/>
        </w:rPr>
        <w:t xml:space="preserve">urgent and </w:t>
      </w:r>
      <w:r w:rsidR="00775067">
        <w:rPr>
          <w:rFonts w:cstheme="minorHAnsi"/>
          <w:sz w:val="24"/>
          <w:szCs w:val="24"/>
        </w:rPr>
        <w:t xml:space="preserve">ideally </w:t>
      </w:r>
      <w:r w:rsidR="008E2668" w:rsidRPr="00BF02A2">
        <w:rPr>
          <w:rFonts w:cstheme="minorHAnsi"/>
          <w:sz w:val="24"/>
          <w:szCs w:val="24"/>
        </w:rPr>
        <w:t xml:space="preserve">needed a bed within </w:t>
      </w:r>
      <w:r w:rsidR="00EB4D94" w:rsidRPr="00BF02A2">
        <w:rPr>
          <w:rFonts w:cstheme="minorHAnsi"/>
          <w:sz w:val="24"/>
          <w:szCs w:val="24"/>
        </w:rPr>
        <w:t xml:space="preserve">24 hours or </w:t>
      </w:r>
      <w:r w:rsidR="008E2668" w:rsidRPr="00BF02A2">
        <w:rPr>
          <w:rFonts w:cstheme="minorHAnsi"/>
          <w:sz w:val="24"/>
          <w:szCs w:val="24"/>
        </w:rPr>
        <w:t>7 days</w:t>
      </w:r>
      <w:r w:rsidR="00A1303F" w:rsidRPr="00BF02A2">
        <w:rPr>
          <w:rFonts w:cstheme="minorHAnsi"/>
          <w:sz w:val="24"/>
          <w:szCs w:val="24"/>
        </w:rPr>
        <w:t xml:space="preserve"> </w:t>
      </w:r>
      <w:r w:rsidR="00EB4D94" w:rsidRPr="00BF02A2">
        <w:rPr>
          <w:rFonts w:cstheme="minorHAnsi"/>
          <w:sz w:val="24"/>
          <w:szCs w:val="24"/>
        </w:rPr>
        <w:t xml:space="preserve">respectively. </w:t>
      </w:r>
      <w:r w:rsidR="00177E86" w:rsidRPr="00BF02A2">
        <w:rPr>
          <w:rFonts w:cstheme="minorHAnsi"/>
          <w:sz w:val="24"/>
          <w:szCs w:val="24"/>
        </w:rPr>
        <w:t>There were 15-20 clients per week waiting for a bed.</w:t>
      </w:r>
      <w:r w:rsidR="00177E86">
        <w:rPr>
          <w:rFonts w:cstheme="minorHAnsi"/>
          <w:sz w:val="24"/>
          <w:szCs w:val="24"/>
        </w:rPr>
        <w:t xml:space="preserve"> </w:t>
      </w:r>
      <w:r w:rsidR="00010FC9" w:rsidRPr="00BF02A2">
        <w:rPr>
          <w:rFonts w:cstheme="minorHAnsi"/>
          <w:sz w:val="24"/>
          <w:szCs w:val="24"/>
        </w:rPr>
        <w:t xml:space="preserve">The </w:t>
      </w:r>
      <w:r w:rsidR="008E2668" w:rsidRPr="00BF02A2">
        <w:rPr>
          <w:rFonts w:cstheme="minorHAnsi"/>
          <w:sz w:val="24"/>
          <w:szCs w:val="24"/>
        </w:rPr>
        <w:t>average waiting time for bed</w:t>
      </w:r>
      <w:r w:rsidR="00A96A19">
        <w:rPr>
          <w:rFonts w:cstheme="minorHAnsi"/>
          <w:sz w:val="24"/>
          <w:szCs w:val="24"/>
        </w:rPr>
        <w:t>s</w:t>
      </w:r>
      <w:r w:rsidR="008E2668" w:rsidRPr="00BF02A2">
        <w:rPr>
          <w:rFonts w:cstheme="minorHAnsi"/>
          <w:sz w:val="24"/>
          <w:szCs w:val="24"/>
        </w:rPr>
        <w:t xml:space="preserve"> </w:t>
      </w:r>
      <w:r w:rsidR="00E25411">
        <w:rPr>
          <w:rFonts w:cstheme="minorHAnsi"/>
          <w:sz w:val="24"/>
          <w:szCs w:val="24"/>
        </w:rPr>
        <w:t>for a</w:t>
      </w:r>
      <w:r w:rsidR="0033059D" w:rsidRPr="00BF02A2">
        <w:rPr>
          <w:rFonts w:cstheme="minorHAnsi"/>
          <w:sz w:val="24"/>
          <w:szCs w:val="24"/>
        </w:rPr>
        <w:t>ll referral</w:t>
      </w:r>
      <w:r w:rsidR="00EA7C04">
        <w:rPr>
          <w:rFonts w:cstheme="minorHAnsi"/>
          <w:sz w:val="24"/>
          <w:szCs w:val="24"/>
        </w:rPr>
        <w:t>s</w:t>
      </w:r>
      <w:r w:rsidR="0033059D" w:rsidRPr="00BF02A2">
        <w:rPr>
          <w:rFonts w:cstheme="minorHAnsi"/>
          <w:sz w:val="24"/>
          <w:szCs w:val="24"/>
        </w:rPr>
        <w:t xml:space="preserve"> </w:t>
      </w:r>
      <w:r w:rsidR="008E2668" w:rsidRPr="00BF02A2">
        <w:rPr>
          <w:rFonts w:cstheme="minorHAnsi"/>
          <w:sz w:val="24"/>
          <w:szCs w:val="24"/>
        </w:rPr>
        <w:t>was 2</w:t>
      </w:r>
      <w:r w:rsidR="003269DF">
        <w:rPr>
          <w:rFonts w:cstheme="minorHAnsi"/>
          <w:sz w:val="24"/>
          <w:szCs w:val="24"/>
        </w:rPr>
        <w:t>5</w:t>
      </w:r>
      <w:r w:rsidR="008E2668" w:rsidRPr="00BF02A2">
        <w:rPr>
          <w:rFonts w:cstheme="minorHAnsi"/>
          <w:sz w:val="24"/>
          <w:szCs w:val="24"/>
        </w:rPr>
        <w:t xml:space="preserve"> days. </w:t>
      </w:r>
      <w:r w:rsidR="0074730D">
        <w:rPr>
          <w:rFonts w:cstheme="minorHAnsi"/>
          <w:sz w:val="24"/>
          <w:szCs w:val="24"/>
        </w:rPr>
        <w:t>In comparison, t</w:t>
      </w:r>
      <w:r w:rsidR="00A373F2">
        <w:rPr>
          <w:rFonts w:cstheme="minorHAnsi"/>
          <w:sz w:val="24"/>
          <w:szCs w:val="24"/>
        </w:rPr>
        <w:t>he a</w:t>
      </w:r>
      <w:r w:rsidR="00F15DFA">
        <w:rPr>
          <w:rFonts w:cstheme="minorHAnsi"/>
          <w:sz w:val="24"/>
          <w:szCs w:val="24"/>
        </w:rPr>
        <w:t>verage w</w:t>
      </w:r>
      <w:r w:rsidR="00EA7C04">
        <w:rPr>
          <w:rFonts w:cstheme="minorHAnsi"/>
          <w:sz w:val="24"/>
          <w:szCs w:val="24"/>
        </w:rPr>
        <w:t>aiting times for the smaller HOPE network w</w:t>
      </w:r>
      <w:r w:rsidR="00B42A9E">
        <w:rPr>
          <w:rFonts w:cstheme="minorHAnsi"/>
          <w:sz w:val="24"/>
          <w:szCs w:val="24"/>
        </w:rPr>
        <w:t xml:space="preserve">ent up from 33 </w:t>
      </w:r>
      <w:r w:rsidR="00696DC9">
        <w:rPr>
          <w:rFonts w:cstheme="minorHAnsi"/>
          <w:sz w:val="24"/>
          <w:szCs w:val="24"/>
        </w:rPr>
        <w:t xml:space="preserve">pre-Covid </w:t>
      </w:r>
      <w:r w:rsidR="00B42A9E">
        <w:rPr>
          <w:rFonts w:cstheme="minorHAnsi"/>
          <w:sz w:val="24"/>
          <w:szCs w:val="24"/>
        </w:rPr>
        <w:t>to 4</w:t>
      </w:r>
      <w:r w:rsidR="00C50DBE">
        <w:rPr>
          <w:rFonts w:cstheme="minorHAnsi"/>
          <w:sz w:val="24"/>
          <w:szCs w:val="24"/>
        </w:rPr>
        <w:t>2</w:t>
      </w:r>
      <w:r w:rsidR="00B42A9E">
        <w:rPr>
          <w:rFonts w:cstheme="minorHAnsi"/>
          <w:sz w:val="24"/>
          <w:szCs w:val="24"/>
        </w:rPr>
        <w:t xml:space="preserve"> </w:t>
      </w:r>
      <w:r w:rsidR="00F15DFA">
        <w:rPr>
          <w:rFonts w:cstheme="minorHAnsi"/>
          <w:sz w:val="24"/>
          <w:szCs w:val="24"/>
        </w:rPr>
        <w:t xml:space="preserve">days </w:t>
      </w:r>
      <w:r w:rsidR="00B42A9E">
        <w:rPr>
          <w:rFonts w:cstheme="minorHAnsi"/>
          <w:sz w:val="24"/>
          <w:szCs w:val="24"/>
        </w:rPr>
        <w:t>during the pandemic</w:t>
      </w:r>
      <w:r w:rsidR="000E4AEA">
        <w:rPr>
          <w:rFonts w:cstheme="minorHAnsi"/>
          <w:sz w:val="24"/>
          <w:szCs w:val="24"/>
        </w:rPr>
        <w:t xml:space="preserve"> (</w:t>
      </w:r>
      <w:r w:rsidR="00B42A9E">
        <w:rPr>
          <w:rFonts w:cstheme="minorHAnsi"/>
          <w:sz w:val="24"/>
          <w:szCs w:val="24"/>
        </w:rPr>
        <w:t xml:space="preserve">Ayton </w:t>
      </w:r>
      <w:r w:rsidR="00B42A9E" w:rsidRPr="004100D5">
        <w:rPr>
          <w:rFonts w:cstheme="minorHAnsi"/>
          <w:i/>
          <w:iCs/>
          <w:sz w:val="24"/>
          <w:szCs w:val="24"/>
        </w:rPr>
        <w:t>et al</w:t>
      </w:r>
      <w:r w:rsidR="00B42A9E" w:rsidRPr="00F15DFA">
        <w:rPr>
          <w:rFonts w:cstheme="minorHAnsi"/>
          <w:sz w:val="24"/>
          <w:szCs w:val="24"/>
        </w:rPr>
        <w:t>.,</w:t>
      </w:r>
      <w:r w:rsidR="00B42A9E">
        <w:rPr>
          <w:rFonts w:cstheme="minorHAnsi"/>
          <w:sz w:val="24"/>
          <w:szCs w:val="24"/>
        </w:rPr>
        <w:t xml:space="preserve"> 2021</w:t>
      </w:r>
      <w:r w:rsidR="000E4AEA">
        <w:rPr>
          <w:rFonts w:cstheme="minorHAnsi"/>
          <w:sz w:val="24"/>
          <w:szCs w:val="24"/>
        </w:rPr>
        <w:t>)</w:t>
      </w:r>
      <w:r w:rsidR="00F15DFA">
        <w:rPr>
          <w:rFonts w:cstheme="minorHAnsi"/>
          <w:sz w:val="24"/>
          <w:szCs w:val="24"/>
        </w:rPr>
        <w:t>.</w:t>
      </w:r>
      <w:r w:rsidR="00B42A9E">
        <w:rPr>
          <w:rFonts w:cstheme="minorHAnsi"/>
          <w:sz w:val="24"/>
          <w:szCs w:val="24"/>
        </w:rPr>
        <w:t xml:space="preserve"> </w:t>
      </w:r>
    </w:p>
    <w:p w14:paraId="790DD939" w14:textId="712AA908" w:rsidR="009D352A" w:rsidRPr="00276611" w:rsidRDefault="00D7553B" w:rsidP="00E764AA">
      <w:pPr>
        <w:spacing w:line="480" w:lineRule="auto"/>
        <w:rPr>
          <w:rFonts w:cstheme="minorHAnsi"/>
          <w:sz w:val="24"/>
          <w:szCs w:val="24"/>
        </w:rPr>
      </w:pPr>
      <w:r w:rsidRPr="00BF02A2">
        <w:rPr>
          <w:rFonts w:cstheme="minorHAnsi"/>
          <w:sz w:val="24"/>
          <w:szCs w:val="24"/>
        </w:rPr>
        <w:t xml:space="preserve">In terms of referral outcomes, 35% of </w:t>
      </w:r>
      <w:r w:rsidR="00C63481">
        <w:rPr>
          <w:rFonts w:cstheme="minorHAnsi"/>
          <w:sz w:val="24"/>
          <w:szCs w:val="24"/>
        </w:rPr>
        <w:t xml:space="preserve">all </w:t>
      </w:r>
      <w:r w:rsidR="00072D5C" w:rsidRPr="00BF02A2">
        <w:rPr>
          <w:rFonts w:cstheme="minorHAnsi"/>
          <w:sz w:val="24"/>
          <w:szCs w:val="24"/>
        </w:rPr>
        <w:t>client</w:t>
      </w:r>
      <w:r w:rsidRPr="00BF02A2">
        <w:rPr>
          <w:rFonts w:cstheme="minorHAnsi"/>
          <w:sz w:val="24"/>
          <w:szCs w:val="24"/>
        </w:rPr>
        <w:t xml:space="preserve">s </w:t>
      </w:r>
      <w:r w:rsidR="000B7806">
        <w:rPr>
          <w:rFonts w:cstheme="minorHAnsi"/>
          <w:sz w:val="24"/>
          <w:szCs w:val="24"/>
        </w:rPr>
        <w:t xml:space="preserve">referred for inpatient treatment </w:t>
      </w:r>
      <w:r w:rsidRPr="00BF02A2">
        <w:rPr>
          <w:rFonts w:cstheme="minorHAnsi"/>
          <w:sz w:val="24"/>
          <w:szCs w:val="24"/>
        </w:rPr>
        <w:t xml:space="preserve">were admitted to </w:t>
      </w:r>
      <w:r w:rsidR="007D28D9" w:rsidRPr="00BF02A2">
        <w:rPr>
          <w:rFonts w:cstheme="minorHAnsi"/>
          <w:sz w:val="24"/>
          <w:szCs w:val="24"/>
        </w:rPr>
        <w:t xml:space="preserve">HOPE NHS </w:t>
      </w:r>
      <w:r w:rsidR="00C119B4" w:rsidRPr="00BF02A2">
        <w:rPr>
          <w:rFonts w:cstheme="minorHAnsi"/>
          <w:sz w:val="24"/>
          <w:szCs w:val="24"/>
        </w:rPr>
        <w:t>i</w:t>
      </w:r>
      <w:r w:rsidR="007D28D9" w:rsidRPr="00BF02A2">
        <w:rPr>
          <w:rFonts w:cstheme="minorHAnsi"/>
          <w:sz w:val="24"/>
          <w:szCs w:val="24"/>
        </w:rPr>
        <w:t>n</w:t>
      </w:r>
      <w:r w:rsidR="00C75189" w:rsidRPr="00BF02A2">
        <w:rPr>
          <w:rFonts w:cstheme="minorHAnsi"/>
          <w:sz w:val="24"/>
          <w:szCs w:val="24"/>
        </w:rPr>
        <w:t xml:space="preserve">patient </w:t>
      </w:r>
      <w:r w:rsidR="00CC27E2">
        <w:rPr>
          <w:rFonts w:cstheme="minorHAnsi"/>
          <w:sz w:val="24"/>
          <w:szCs w:val="24"/>
        </w:rPr>
        <w:t>u</w:t>
      </w:r>
      <w:r w:rsidR="00EA38BD" w:rsidRPr="00BF02A2">
        <w:rPr>
          <w:rFonts w:cstheme="minorHAnsi"/>
          <w:sz w:val="24"/>
          <w:szCs w:val="24"/>
        </w:rPr>
        <w:t>nits, 14</w:t>
      </w:r>
      <w:r w:rsidRPr="00BF02A2">
        <w:rPr>
          <w:rFonts w:cstheme="minorHAnsi"/>
          <w:sz w:val="24"/>
          <w:szCs w:val="24"/>
        </w:rPr>
        <w:t xml:space="preserve">% </w:t>
      </w:r>
      <w:r w:rsidR="007D28D9" w:rsidRPr="00BF02A2">
        <w:rPr>
          <w:rFonts w:cstheme="minorHAnsi"/>
          <w:sz w:val="24"/>
          <w:szCs w:val="24"/>
        </w:rPr>
        <w:t xml:space="preserve">to HOPE </w:t>
      </w:r>
      <w:r w:rsidR="00C119B4" w:rsidRPr="00BF02A2">
        <w:rPr>
          <w:rFonts w:cstheme="minorHAnsi"/>
          <w:sz w:val="24"/>
          <w:szCs w:val="24"/>
        </w:rPr>
        <w:t>i</w:t>
      </w:r>
      <w:r w:rsidR="007D28D9" w:rsidRPr="00BF02A2">
        <w:rPr>
          <w:rFonts w:cstheme="minorHAnsi"/>
          <w:sz w:val="24"/>
          <w:szCs w:val="24"/>
        </w:rPr>
        <w:t>ndependent in</w:t>
      </w:r>
      <w:r w:rsidR="00C75189" w:rsidRPr="00BF02A2">
        <w:rPr>
          <w:rFonts w:cstheme="minorHAnsi"/>
          <w:sz w:val="24"/>
          <w:szCs w:val="24"/>
        </w:rPr>
        <w:t xml:space="preserve">patient </w:t>
      </w:r>
      <w:r w:rsidR="00CC27E2">
        <w:rPr>
          <w:rFonts w:cstheme="minorHAnsi"/>
          <w:sz w:val="24"/>
          <w:szCs w:val="24"/>
        </w:rPr>
        <w:t>u</w:t>
      </w:r>
      <w:r w:rsidR="007D28D9" w:rsidRPr="00BF02A2">
        <w:rPr>
          <w:rFonts w:cstheme="minorHAnsi"/>
          <w:sz w:val="24"/>
          <w:szCs w:val="24"/>
        </w:rPr>
        <w:t>nits, and</w:t>
      </w:r>
      <w:r w:rsidRPr="00BF02A2">
        <w:rPr>
          <w:rFonts w:cstheme="minorHAnsi"/>
          <w:sz w:val="24"/>
          <w:szCs w:val="24"/>
        </w:rPr>
        <w:t xml:space="preserve"> 6% were admitted </w:t>
      </w:r>
      <w:r w:rsidR="007D28D9" w:rsidRPr="00BF02A2">
        <w:rPr>
          <w:rFonts w:cstheme="minorHAnsi"/>
          <w:sz w:val="24"/>
          <w:szCs w:val="24"/>
        </w:rPr>
        <w:t>outside the network</w:t>
      </w:r>
      <w:r w:rsidRPr="00BF02A2">
        <w:rPr>
          <w:rFonts w:cstheme="minorHAnsi"/>
          <w:sz w:val="24"/>
          <w:szCs w:val="24"/>
        </w:rPr>
        <w:t>.</w:t>
      </w:r>
      <w:r w:rsidR="007D28D9" w:rsidRPr="00BF02A2">
        <w:rPr>
          <w:rFonts w:cstheme="minorHAnsi"/>
          <w:sz w:val="24"/>
          <w:szCs w:val="24"/>
        </w:rPr>
        <w:t xml:space="preserve"> A total of </w:t>
      </w:r>
      <w:r w:rsidRPr="00BF02A2">
        <w:rPr>
          <w:rFonts w:cstheme="minorHAnsi"/>
          <w:sz w:val="24"/>
          <w:szCs w:val="24"/>
        </w:rPr>
        <w:t xml:space="preserve">28% of </w:t>
      </w:r>
      <w:r w:rsidR="00072D5C" w:rsidRPr="00276611">
        <w:rPr>
          <w:rFonts w:cstheme="minorHAnsi"/>
          <w:sz w:val="24"/>
          <w:szCs w:val="24"/>
        </w:rPr>
        <w:t>client</w:t>
      </w:r>
      <w:r w:rsidRPr="00276611">
        <w:rPr>
          <w:rFonts w:cstheme="minorHAnsi"/>
          <w:sz w:val="24"/>
          <w:szCs w:val="24"/>
        </w:rPr>
        <w:t>s were not admitted for a range of reasons</w:t>
      </w:r>
      <w:r w:rsidR="007D28D9" w:rsidRPr="00276611">
        <w:rPr>
          <w:rFonts w:cstheme="minorHAnsi"/>
          <w:sz w:val="24"/>
          <w:szCs w:val="24"/>
        </w:rPr>
        <w:t xml:space="preserve"> e.g.</w:t>
      </w:r>
      <w:r w:rsidRPr="00276611">
        <w:rPr>
          <w:rFonts w:cstheme="minorHAnsi"/>
          <w:sz w:val="24"/>
          <w:szCs w:val="24"/>
        </w:rPr>
        <w:t xml:space="preserve">, some no longer required a bed, some declined a bed, and some were admitted to acute psychiatric hospitals. </w:t>
      </w:r>
      <w:r w:rsidR="007D28D9" w:rsidRPr="00276611">
        <w:rPr>
          <w:rFonts w:cstheme="minorHAnsi"/>
          <w:sz w:val="24"/>
          <w:szCs w:val="24"/>
        </w:rPr>
        <w:t xml:space="preserve">Referrals (17%) from outside the footprint were declined as there were no </w:t>
      </w:r>
      <w:r w:rsidR="00071090">
        <w:rPr>
          <w:rFonts w:cstheme="minorHAnsi"/>
          <w:sz w:val="24"/>
          <w:szCs w:val="24"/>
        </w:rPr>
        <w:t xml:space="preserve">PC </w:t>
      </w:r>
      <w:r w:rsidR="007D28D9" w:rsidRPr="00276611">
        <w:rPr>
          <w:rFonts w:cstheme="minorHAnsi"/>
          <w:sz w:val="24"/>
          <w:szCs w:val="24"/>
        </w:rPr>
        <w:t xml:space="preserve">beds available to accommodate </w:t>
      </w:r>
      <w:r w:rsidR="00E9280B" w:rsidRPr="00276611">
        <w:rPr>
          <w:rFonts w:cstheme="minorHAnsi"/>
          <w:sz w:val="24"/>
          <w:szCs w:val="24"/>
        </w:rPr>
        <w:t xml:space="preserve">external </w:t>
      </w:r>
      <w:r w:rsidR="005030A7" w:rsidRPr="00276611">
        <w:rPr>
          <w:rFonts w:cstheme="minorHAnsi"/>
          <w:sz w:val="24"/>
          <w:szCs w:val="24"/>
        </w:rPr>
        <w:t>referrals.</w:t>
      </w:r>
    </w:p>
    <w:p w14:paraId="6B8975B5" w14:textId="615EBDBE" w:rsidR="0067510D" w:rsidRPr="00276611" w:rsidRDefault="0067510D" w:rsidP="00E764AA">
      <w:pPr>
        <w:spacing w:line="480" w:lineRule="auto"/>
        <w:rPr>
          <w:rFonts w:cstheme="minorHAnsi"/>
          <w:sz w:val="24"/>
          <w:szCs w:val="24"/>
        </w:rPr>
      </w:pPr>
      <w:r w:rsidRPr="00276611">
        <w:rPr>
          <w:rFonts w:cstheme="minorHAnsi"/>
          <w:sz w:val="24"/>
          <w:szCs w:val="24"/>
        </w:rPr>
        <w:t xml:space="preserve">There were significant variations in the mean length of stay </w:t>
      </w:r>
      <w:r w:rsidR="00AB0CA8" w:rsidRPr="00276611">
        <w:rPr>
          <w:rFonts w:cstheme="minorHAnsi"/>
          <w:sz w:val="24"/>
          <w:szCs w:val="24"/>
        </w:rPr>
        <w:t xml:space="preserve">(LoS) </w:t>
      </w:r>
      <w:r w:rsidRPr="00276611">
        <w:rPr>
          <w:rFonts w:cstheme="minorHAnsi"/>
          <w:sz w:val="24"/>
          <w:szCs w:val="24"/>
        </w:rPr>
        <w:t xml:space="preserve">between </w:t>
      </w:r>
      <w:r w:rsidR="00A64F88">
        <w:rPr>
          <w:rFonts w:cstheme="minorHAnsi"/>
          <w:sz w:val="24"/>
          <w:szCs w:val="24"/>
        </w:rPr>
        <w:t xml:space="preserve">the 5 </w:t>
      </w:r>
      <w:r w:rsidR="000546B7">
        <w:rPr>
          <w:rFonts w:cstheme="minorHAnsi"/>
          <w:sz w:val="24"/>
          <w:szCs w:val="24"/>
        </w:rPr>
        <w:t xml:space="preserve">HOPE </w:t>
      </w:r>
      <w:r w:rsidRPr="00276611">
        <w:rPr>
          <w:rFonts w:cstheme="minorHAnsi"/>
          <w:sz w:val="24"/>
          <w:szCs w:val="24"/>
        </w:rPr>
        <w:t xml:space="preserve">inpatient providers </w:t>
      </w:r>
      <w:r w:rsidR="00D238C2" w:rsidRPr="00276611">
        <w:rPr>
          <w:rFonts w:cstheme="minorHAnsi"/>
          <w:sz w:val="24"/>
          <w:szCs w:val="24"/>
        </w:rPr>
        <w:t>(</w:t>
      </w:r>
      <w:r w:rsidR="00C12579" w:rsidRPr="00276611">
        <w:rPr>
          <w:rFonts w:cstheme="minorHAnsi"/>
          <w:sz w:val="24"/>
          <w:szCs w:val="24"/>
        </w:rPr>
        <w:t>e.g.,</w:t>
      </w:r>
      <w:r w:rsidR="00D238C2" w:rsidRPr="00276611">
        <w:rPr>
          <w:rFonts w:cstheme="minorHAnsi"/>
          <w:sz w:val="24"/>
          <w:szCs w:val="24"/>
        </w:rPr>
        <w:t xml:space="preserve"> 64 d</w:t>
      </w:r>
      <w:r w:rsidR="00E508D3" w:rsidRPr="00276611">
        <w:rPr>
          <w:rFonts w:cstheme="minorHAnsi"/>
          <w:sz w:val="24"/>
          <w:szCs w:val="24"/>
        </w:rPr>
        <w:t>ays vs 137 days</w:t>
      </w:r>
      <w:r w:rsidR="007B68EC" w:rsidRPr="00276611">
        <w:rPr>
          <w:rFonts w:cstheme="minorHAnsi"/>
          <w:sz w:val="24"/>
          <w:szCs w:val="24"/>
        </w:rPr>
        <w:t xml:space="preserve"> between shortest and longest mean </w:t>
      </w:r>
      <w:r w:rsidR="00AB0CA8" w:rsidRPr="00276611">
        <w:rPr>
          <w:rFonts w:cstheme="minorHAnsi"/>
          <w:sz w:val="24"/>
          <w:szCs w:val="24"/>
        </w:rPr>
        <w:t>LoS</w:t>
      </w:r>
      <w:r w:rsidR="00CA042B">
        <w:rPr>
          <w:rFonts w:cstheme="minorHAnsi"/>
          <w:sz w:val="24"/>
          <w:szCs w:val="24"/>
        </w:rPr>
        <w:t xml:space="preserve">) </w:t>
      </w:r>
      <w:r w:rsidR="003C30BC" w:rsidRPr="00276611">
        <w:rPr>
          <w:rFonts w:cstheme="minorHAnsi"/>
          <w:sz w:val="24"/>
          <w:szCs w:val="24"/>
        </w:rPr>
        <w:t>with an average of 103 days</w:t>
      </w:r>
      <w:r w:rsidR="00B348D8">
        <w:rPr>
          <w:rFonts w:cstheme="minorHAnsi"/>
          <w:sz w:val="24"/>
          <w:szCs w:val="24"/>
        </w:rPr>
        <w:t xml:space="preserve"> across the </w:t>
      </w:r>
      <w:r w:rsidR="00220235">
        <w:rPr>
          <w:rFonts w:cstheme="minorHAnsi"/>
          <w:sz w:val="24"/>
          <w:szCs w:val="24"/>
        </w:rPr>
        <w:t>PC</w:t>
      </w:r>
      <w:r w:rsidR="003C30BC" w:rsidRPr="00276611">
        <w:rPr>
          <w:rFonts w:cstheme="minorHAnsi"/>
          <w:sz w:val="24"/>
          <w:szCs w:val="24"/>
        </w:rPr>
        <w:t xml:space="preserve">. </w:t>
      </w:r>
    </w:p>
    <w:p w14:paraId="2BC628C3" w14:textId="77777777" w:rsidR="008E5D3B" w:rsidRPr="00276611" w:rsidRDefault="008E5D3B" w:rsidP="00E764AA">
      <w:pPr>
        <w:spacing w:line="480" w:lineRule="auto"/>
        <w:rPr>
          <w:rFonts w:cstheme="minorHAnsi"/>
          <w:b/>
          <w:bCs/>
          <w:sz w:val="24"/>
          <w:szCs w:val="24"/>
        </w:rPr>
      </w:pPr>
    </w:p>
    <w:p w14:paraId="11D9F2BF" w14:textId="15A9BD0C" w:rsidR="004B63B5" w:rsidRPr="00276611" w:rsidRDefault="00B07E7C" w:rsidP="00E764AA">
      <w:pPr>
        <w:spacing w:line="480" w:lineRule="auto"/>
        <w:rPr>
          <w:rFonts w:cstheme="minorHAnsi"/>
          <w:b/>
          <w:bCs/>
          <w:sz w:val="24"/>
          <w:szCs w:val="24"/>
        </w:rPr>
      </w:pPr>
      <w:r w:rsidRPr="00276611">
        <w:rPr>
          <w:rFonts w:cstheme="minorHAnsi"/>
          <w:b/>
          <w:bCs/>
          <w:sz w:val="24"/>
          <w:szCs w:val="24"/>
        </w:rPr>
        <w:t>Lessons learned</w:t>
      </w:r>
    </w:p>
    <w:p w14:paraId="765169B7" w14:textId="54C1423F" w:rsidR="0080683D" w:rsidRPr="00276611" w:rsidRDefault="00EA38BD" w:rsidP="00A62CDA">
      <w:pPr>
        <w:spacing w:line="480" w:lineRule="auto"/>
        <w:rPr>
          <w:rFonts w:cstheme="minorHAnsi"/>
          <w:sz w:val="24"/>
          <w:szCs w:val="24"/>
        </w:rPr>
      </w:pPr>
      <w:r w:rsidRPr="00276611">
        <w:rPr>
          <w:rFonts w:cstheme="minorHAnsi"/>
          <w:sz w:val="24"/>
          <w:szCs w:val="24"/>
        </w:rPr>
        <w:t>Reflecting</w:t>
      </w:r>
      <w:r w:rsidR="009D352A" w:rsidRPr="00276611">
        <w:rPr>
          <w:rFonts w:cstheme="minorHAnsi"/>
          <w:sz w:val="24"/>
          <w:szCs w:val="24"/>
        </w:rPr>
        <w:t xml:space="preserve"> on the</w:t>
      </w:r>
      <w:r w:rsidR="0080683D" w:rsidRPr="00276611">
        <w:rPr>
          <w:rFonts w:cstheme="minorHAnsi"/>
          <w:sz w:val="24"/>
          <w:szCs w:val="24"/>
        </w:rPr>
        <w:t xml:space="preserve"> HOPE</w:t>
      </w:r>
      <w:r w:rsidR="009D352A" w:rsidRPr="00276611">
        <w:rPr>
          <w:rFonts w:cstheme="minorHAnsi"/>
          <w:sz w:val="24"/>
          <w:szCs w:val="24"/>
        </w:rPr>
        <w:t xml:space="preserve"> pilot the</w:t>
      </w:r>
      <w:r w:rsidR="000D4BF8">
        <w:rPr>
          <w:rFonts w:cstheme="minorHAnsi"/>
          <w:sz w:val="24"/>
          <w:szCs w:val="24"/>
        </w:rPr>
        <w:t xml:space="preserve">re were </w:t>
      </w:r>
      <w:r w:rsidR="00653AA2">
        <w:rPr>
          <w:rFonts w:cstheme="minorHAnsi"/>
          <w:sz w:val="24"/>
          <w:szCs w:val="24"/>
        </w:rPr>
        <w:t xml:space="preserve">many </w:t>
      </w:r>
      <w:r w:rsidR="00653AA2" w:rsidRPr="00276611">
        <w:rPr>
          <w:rFonts w:cstheme="minorHAnsi"/>
          <w:sz w:val="24"/>
          <w:szCs w:val="24"/>
        </w:rPr>
        <w:t>learning</w:t>
      </w:r>
      <w:r w:rsidR="00E73C88" w:rsidRPr="00276611">
        <w:rPr>
          <w:rFonts w:cstheme="minorHAnsi"/>
          <w:sz w:val="24"/>
          <w:szCs w:val="24"/>
        </w:rPr>
        <w:t xml:space="preserve"> points</w:t>
      </w:r>
      <w:r w:rsidR="00A62CDA">
        <w:rPr>
          <w:rFonts w:cstheme="minorHAnsi"/>
          <w:sz w:val="24"/>
          <w:szCs w:val="24"/>
        </w:rPr>
        <w:t xml:space="preserve">. </w:t>
      </w:r>
      <w:r w:rsidR="00830A75" w:rsidRPr="00276611">
        <w:rPr>
          <w:rFonts w:cstheme="minorHAnsi"/>
          <w:sz w:val="24"/>
          <w:szCs w:val="24"/>
        </w:rPr>
        <w:t xml:space="preserve">A </w:t>
      </w:r>
      <w:r w:rsidR="0094435C" w:rsidRPr="00276611">
        <w:rPr>
          <w:rFonts w:cstheme="minorHAnsi"/>
          <w:sz w:val="24"/>
          <w:szCs w:val="24"/>
        </w:rPr>
        <w:t>dearth</w:t>
      </w:r>
      <w:r w:rsidR="00830A75" w:rsidRPr="00276611">
        <w:rPr>
          <w:rFonts w:cstheme="minorHAnsi"/>
          <w:sz w:val="24"/>
          <w:szCs w:val="24"/>
        </w:rPr>
        <w:t xml:space="preserve"> in the literature </w:t>
      </w:r>
      <w:r w:rsidR="00B942AB" w:rsidRPr="00276611">
        <w:rPr>
          <w:rFonts w:cstheme="minorHAnsi"/>
          <w:sz w:val="24"/>
          <w:szCs w:val="24"/>
        </w:rPr>
        <w:t xml:space="preserve">on the number of </w:t>
      </w:r>
      <w:r w:rsidR="000D3690" w:rsidRPr="00276611">
        <w:rPr>
          <w:rFonts w:cstheme="minorHAnsi"/>
          <w:sz w:val="24"/>
          <w:szCs w:val="24"/>
        </w:rPr>
        <w:t xml:space="preserve">adult </w:t>
      </w:r>
      <w:r w:rsidR="000C433B" w:rsidRPr="00276611">
        <w:rPr>
          <w:rFonts w:cstheme="minorHAnsi"/>
          <w:sz w:val="24"/>
          <w:szCs w:val="24"/>
        </w:rPr>
        <w:t xml:space="preserve">inpatient </w:t>
      </w:r>
      <w:r w:rsidR="00B942AB" w:rsidRPr="00276611">
        <w:rPr>
          <w:rFonts w:cstheme="minorHAnsi"/>
          <w:sz w:val="24"/>
          <w:szCs w:val="24"/>
        </w:rPr>
        <w:t>beds required per mi</w:t>
      </w:r>
      <w:r w:rsidR="00E6166E" w:rsidRPr="00276611">
        <w:rPr>
          <w:rFonts w:cstheme="minorHAnsi"/>
          <w:sz w:val="24"/>
          <w:szCs w:val="24"/>
        </w:rPr>
        <w:t xml:space="preserve">llion people </w:t>
      </w:r>
      <w:r w:rsidR="00830A75" w:rsidRPr="00276611">
        <w:rPr>
          <w:rFonts w:cstheme="minorHAnsi"/>
          <w:sz w:val="24"/>
          <w:szCs w:val="24"/>
        </w:rPr>
        <w:t>and t</w:t>
      </w:r>
      <w:r w:rsidR="0080683D" w:rsidRPr="00276611">
        <w:rPr>
          <w:rFonts w:cstheme="minorHAnsi"/>
          <w:sz w:val="24"/>
          <w:szCs w:val="24"/>
        </w:rPr>
        <w:t>h</w:t>
      </w:r>
      <w:r w:rsidR="0044332C" w:rsidRPr="00276611">
        <w:rPr>
          <w:rFonts w:cstheme="minorHAnsi"/>
          <w:sz w:val="24"/>
          <w:szCs w:val="24"/>
        </w:rPr>
        <w:t>e</w:t>
      </w:r>
      <w:r w:rsidR="0080683D" w:rsidRPr="00276611">
        <w:rPr>
          <w:rFonts w:cstheme="minorHAnsi"/>
          <w:sz w:val="24"/>
          <w:szCs w:val="24"/>
        </w:rPr>
        <w:t xml:space="preserve"> lack of </w:t>
      </w:r>
      <w:r w:rsidR="0044332C" w:rsidRPr="00276611">
        <w:rPr>
          <w:rFonts w:cstheme="minorHAnsi"/>
          <w:sz w:val="24"/>
          <w:szCs w:val="24"/>
        </w:rPr>
        <w:t xml:space="preserve">accurate </w:t>
      </w:r>
      <w:r w:rsidR="0080683D" w:rsidRPr="00276611">
        <w:rPr>
          <w:rFonts w:cstheme="minorHAnsi"/>
          <w:sz w:val="24"/>
          <w:szCs w:val="24"/>
        </w:rPr>
        <w:t>data on the demand and capacity for in</w:t>
      </w:r>
      <w:r w:rsidR="001913A7" w:rsidRPr="00276611">
        <w:rPr>
          <w:rFonts w:cstheme="minorHAnsi"/>
          <w:sz w:val="24"/>
          <w:szCs w:val="24"/>
        </w:rPr>
        <w:t xml:space="preserve">patient </w:t>
      </w:r>
      <w:r w:rsidR="0080683D" w:rsidRPr="00276611">
        <w:rPr>
          <w:rFonts w:cstheme="minorHAnsi"/>
          <w:sz w:val="24"/>
          <w:szCs w:val="24"/>
        </w:rPr>
        <w:t xml:space="preserve">beds </w:t>
      </w:r>
      <w:r w:rsidR="001B182C" w:rsidRPr="00276611">
        <w:rPr>
          <w:rFonts w:cstheme="minorHAnsi"/>
          <w:sz w:val="24"/>
          <w:szCs w:val="24"/>
        </w:rPr>
        <w:t xml:space="preserve">in England </w:t>
      </w:r>
      <w:r w:rsidR="0044332C" w:rsidRPr="00276611">
        <w:rPr>
          <w:rFonts w:cstheme="minorHAnsi"/>
          <w:sz w:val="24"/>
          <w:szCs w:val="24"/>
        </w:rPr>
        <w:t>ma</w:t>
      </w:r>
      <w:r w:rsidR="00AF2484" w:rsidRPr="00276611">
        <w:rPr>
          <w:rFonts w:cstheme="minorHAnsi"/>
          <w:sz w:val="24"/>
          <w:szCs w:val="24"/>
        </w:rPr>
        <w:t>k</w:t>
      </w:r>
      <w:r w:rsidR="00E26DB2" w:rsidRPr="00276611">
        <w:rPr>
          <w:rFonts w:cstheme="minorHAnsi"/>
          <w:sz w:val="24"/>
          <w:szCs w:val="24"/>
        </w:rPr>
        <w:t>e</w:t>
      </w:r>
      <w:r w:rsidR="0044332C" w:rsidRPr="00276611">
        <w:rPr>
          <w:rFonts w:cstheme="minorHAnsi"/>
          <w:sz w:val="24"/>
          <w:szCs w:val="24"/>
        </w:rPr>
        <w:t xml:space="preserve"> </w:t>
      </w:r>
      <w:r w:rsidR="0080683D" w:rsidRPr="00276611">
        <w:rPr>
          <w:rFonts w:cstheme="minorHAnsi"/>
          <w:sz w:val="24"/>
          <w:szCs w:val="24"/>
        </w:rPr>
        <w:t xml:space="preserve">the financial risk and liability for lead providers difficult to quantify. </w:t>
      </w:r>
      <w:r w:rsidR="00B5334E" w:rsidRPr="00276611">
        <w:rPr>
          <w:rFonts w:cstheme="minorHAnsi"/>
          <w:sz w:val="24"/>
          <w:szCs w:val="24"/>
        </w:rPr>
        <w:t>T</w:t>
      </w:r>
      <w:r w:rsidR="00757832" w:rsidRPr="00276611">
        <w:rPr>
          <w:rFonts w:cstheme="minorHAnsi"/>
          <w:sz w:val="24"/>
          <w:szCs w:val="24"/>
        </w:rPr>
        <w:t xml:space="preserve">he </w:t>
      </w:r>
      <w:r w:rsidR="004B233F" w:rsidRPr="00276611">
        <w:rPr>
          <w:rFonts w:cstheme="minorHAnsi"/>
          <w:sz w:val="24"/>
          <w:szCs w:val="24"/>
        </w:rPr>
        <w:t xml:space="preserve">average LoS </w:t>
      </w:r>
      <w:r w:rsidR="005C480E" w:rsidRPr="00276611">
        <w:rPr>
          <w:rFonts w:cstheme="minorHAnsi"/>
          <w:sz w:val="24"/>
          <w:szCs w:val="24"/>
        </w:rPr>
        <w:t xml:space="preserve">per PC </w:t>
      </w:r>
      <w:r w:rsidR="004B233F" w:rsidRPr="00276611">
        <w:rPr>
          <w:rFonts w:cstheme="minorHAnsi"/>
          <w:sz w:val="24"/>
          <w:szCs w:val="24"/>
        </w:rPr>
        <w:t>will</w:t>
      </w:r>
      <w:r w:rsidR="008B1A50" w:rsidRPr="00276611">
        <w:rPr>
          <w:rFonts w:cstheme="minorHAnsi"/>
          <w:sz w:val="24"/>
          <w:szCs w:val="24"/>
        </w:rPr>
        <w:t xml:space="preserve"> </w:t>
      </w:r>
      <w:r w:rsidR="001C72F3">
        <w:rPr>
          <w:rFonts w:cstheme="minorHAnsi"/>
          <w:sz w:val="24"/>
          <w:szCs w:val="24"/>
        </w:rPr>
        <w:t>partly</w:t>
      </w:r>
      <w:r w:rsidR="004B233F" w:rsidRPr="00276611">
        <w:rPr>
          <w:rFonts w:cstheme="minorHAnsi"/>
          <w:sz w:val="24"/>
          <w:szCs w:val="24"/>
        </w:rPr>
        <w:t xml:space="preserve"> determine how many beds are required</w:t>
      </w:r>
      <w:r w:rsidR="00B5334E" w:rsidRPr="00276611">
        <w:rPr>
          <w:rFonts w:cstheme="minorHAnsi"/>
          <w:sz w:val="24"/>
          <w:szCs w:val="24"/>
        </w:rPr>
        <w:t>. In this regard, the HOPE pilot data suggested that</w:t>
      </w:r>
      <w:r w:rsidR="004A5F58" w:rsidRPr="00276611">
        <w:rPr>
          <w:rFonts w:cstheme="minorHAnsi"/>
          <w:sz w:val="24"/>
          <w:szCs w:val="24"/>
        </w:rPr>
        <w:t xml:space="preserve"> with an a</w:t>
      </w:r>
      <w:r w:rsidR="003E67E2" w:rsidRPr="00276611">
        <w:rPr>
          <w:rFonts w:cstheme="minorHAnsi"/>
          <w:sz w:val="24"/>
          <w:szCs w:val="24"/>
        </w:rPr>
        <w:t>verage LoS of 103</w:t>
      </w:r>
      <w:r w:rsidR="006E0254" w:rsidRPr="00276611">
        <w:rPr>
          <w:rFonts w:cstheme="minorHAnsi"/>
          <w:sz w:val="24"/>
          <w:szCs w:val="24"/>
        </w:rPr>
        <w:t xml:space="preserve"> days, the </w:t>
      </w:r>
      <w:r w:rsidR="004A5F58" w:rsidRPr="00276611">
        <w:rPr>
          <w:rFonts w:cstheme="minorHAnsi"/>
          <w:sz w:val="24"/>
          <w:szCs w:val="24"/>
        </w:rPr>
        <w:t>network</w:t>
      </w:r>
      <w:r w:rsidR="00F71BFB" w:rsidRPr="00276611">
        <w:rPr>
          <w:rFonts w:cstheme="minorHAnsi"/>
          <w:sz w:val="24"/>
          <w:szCs w:val="24"/>
        </w:rPr>
        <w:t xml:space="preserve"> </w:t>
      </w:r>
      <w:r w:rsidR="006E0254" w:rsidRPr="00276611">
        <w:rPr>
          <w:rFonts w:cstheme="minorHAnsi"/>
          <w:sz w:val="24"/>
          <w:szCs w:val="24"/>
        </w:rPr>
        <w:t xml:space="preserve">required </w:t>
      </w:r>
      <w:r w:rsidR="005A78ED" w:rsidRPr="00276611">
        <w:rPr>
          <w:rFonts w:cstheme="minorHAnsi"/>
          <w:sz w:val="24"/>
          <w:szCs w:val="24"/>
        </w:rPr>
        <w:t>12.1 adult</w:t>
      </w:r>
      <w:r w:rsidR="0080683D" w:rsidRPr="00276611">
        <w:rPr>
          <w:rFonts w:cstheme="minorHAnsi"/>
          <w:sz w:val="24"/>
          <w:szCs w:val="24"/>
        </w:rPr>
        <w:t xml:space="preserve"> in</w:t>
      </w:r>
      <w:r w:rsidR="001914EA" w:rsidRPr="00276611">
        <w:rPr>
          <w:rFonts w:cstheme="minorHAnsi"/>
          <w:sz w:val="24"/>
          <w:szCs w:val="24"/>
        </w:rPr>
        <w:t xml:space="preserve">patient </w:t>
      </w:r>
      <w:r w:rsidR="0080683D" w:rsidRPr="00276611">
        <w:rPr>
          <w:rFonts w:cstheme="minorHAnsi"/>
          <w:sz w:val="24"/>
          <w:szCs w:val="24"/>
        </w:rPr>
        <w:t>beds per million population</w:t>
      </w:r>
      <w:r w:rsidR="00762E44" w:rsidRPr="00276611">
        <w:rPr>
          <w:rFonts w:cstheme="minorHAnsi"/>
          <w:sz w:val="24"/>
          <w:szCs w:val="24"/>
        </w:rPr>
        <w:t xml:space="preserve"> i.e.</w:t>
      </w:r>
      <w:r w:rsidR="00C12579">
        <w:rPr>
          <w:rFonts w:cstheme="minorHAnsi"/>
          <w:sz w:val="24"/>
          <w:szCs w:val="24"/>
        </w:rPr>
        <w:t>,</w:t>
      </w:r>
      <w:r w:rsidR="00762E44" w:rsidRPr="00276611">
        <w:rPr>
          <w:rFonts w:cstheme="minorHAnsi"/>
          <w:sz w:val="24"/>
          <w:szCs w:val="24"/>
        </w:rPr>
        <w:t xml:space="preserve"> </w:t>
      </w:r>
      <w:r w:rsidR="00553341" w:rsidRPr="00276611">
        <w:rPr>
          <w:rFonts w:cstheme="minorHAnsi"/>
          <w:sz w:val="24"/>
          <w:szCs w:val="24"/>
        </w:rPr>
        <w:t>6</w:t>
      </w:r>
      <w:r w:rsidR="001C1643" w:rsidRPr="00276611">
        <w:rPr>
          <w:rFonts w:cstheme="minorHAnsi"/>
          <w:sz w:val="24"/>
          <w:szCs w:val="24"/>
        </w:rPr>
        <w:t>3</w:t>
      </w:r>
      <w:r w:rsidR="00553341" w:rsidRPr="00276611">
        <w:rPr>
          <w:rFonts w:cstheme="minorHAnsi"/>
          <w:sz w:val="24"/>
          <w:szCs w:val="24"/>
        </w:rPr>
        <w:t xml:space="preserve"> beds for 5.2 million people (pre-pandemic) but </w:t>
      </w:r>
      <w:r w:rsidR="00DD3465" w:rsidRPr="00276611">
        <w:rPr>
          <w:rFonts w:cstheme="minorHAnsi"/>
          <w:sz w:val="24"/>
          <w:szCs w:val="24"/>
        </w:rPr>
        <w:t xml:space="preserve">it </w:t>
      </w:r>
      <w:r w:rsidR="00553341" w:rsidRPr="00276611">
        <w:rPr>
          <w:rFonts w:cstheme="minorHAnsi"/>
          <w:sz w:val="24"/>
          <w:szCs w:val="24"/>
        </w:rPr>
        <w:t>only had about 43 beds (i.e.</w:t>
      </w:r>
      <w:r w:rsidR="00C12579">
        <w:rPr>
          <w:rFonts w:cstheme="minorHAnsi"/>
          <w:sz w:val="24"/>
          <w:szCs w:val="24"/>
        </w:rPr>
        <w:t>,</w:t>
      </w:r>
      <w:r w:rsidR="003C7452" w:rsidRPr="00276611">
        <w:rPr>
          <w:rFonts w:cstheme="minorHAnsi"/>
          <w:sz w:val="24"/>
          <w:szCs w:val="24"/>
        </w:rPr>
        <w:t xml:space="preserve"> 8.3 beds/million population</w:t>
      </w:r>
      <w:r w:rsidR="00BB3147" w:rsidRPr="00276611">
        <w:rPr>
          <w:rFonts w:cstheme="minorHAnsi"/>
          <w:sz w:val="24"/>
          <w:szCs w:val="24"/>
        </w:rPr>
        <w:t xml:space="preserve">, </w:t>
      </w:r>
      <w:r w:rsidR="001C1643" w:rsidRPr="00276611">
        <w:rPr>
          <w:rFonts w:cstheme="minorHAnsi"/>
          <w:sz w:val="24"/>
          <w:szCs w:val="24"/>
        </w:rPr>
        <w:t>68</w:t>
      </w:r>
      <w:r w:rsidR="00553341" w:rsidRPr="00276611">
        <w:rPr>
          <w:rFonts w:cstheme="minorHAnsi"/>
          <w:sz w:val="24"/>
          <w:szCs w:val="24"/>
        </w:rPr>
        <w:t xml:space="preserve">% capacity to meet demand). </w:t>
      </w:r>
      <w:r w:rsidR="00453AB5" w:rsidRPr="00276611">
        <w:rPr>
          <w:rFonts w:cstheme="minorHAnsi"/>
          <w:sz w:val="24"/>
          <w:szCs w:val="24"/>
        </w:rPr>
        <w:t xml:space="preserve">The </w:t>
      </w:r>
      <w:r w:rsidR="00457D96" w:rsidRPr="00276611">
        <w:rPr>
          <w:rFonts w:cstheme="minorHAnsi"/>
          <w:sz w:val="24"/>
          <w:szCs w:val="24"/>
        </w:rPr>
        <w:t xml:space="preserve">reduced </w:t>
      </w:r>
      <w:r w:rsidR="00453AB5" w:rsidRPr="00276611">
        <w:rPr>
          <w:rFonts w:cstheme="minorHAnsi"/>
          <w:sz w:val="24"/>
          <w:szCs w:val="24"/>
        </w:rPr>
        <w:t>H</w:t>
      </w:r>
      <w:r w:rsidR="00AA48D5" w:rsidRPr="00276611">
        <w:rPr>
          <w:rFonts w:cstheme="minorHAnsi"/>
          <w:sz w:val="24"/>
          <w:szCs w:val="24"/>
        </w:rPr>
        <w:t>OPE PC</w:t>
      </w:r>
      <w:r w:rsidR="00457D96" w:rsidRPr="00276611">
        <w:rPr>
          <w:rFonts w:cstheme="minorHAnsi"/>
          <w:sz w:val="24"/>
          <w:szCs w:val="24"/>
        </w:rPr>
        <w:t xml:space="preserve"> has 6.3 beds</w:t>
      </w:r>
      <w:r w:rsidR="005A7A6C" w:rsidRPr="00276611">
        <w:rPr>
          <w:rFonts w:cstheme="minorHAnsi"/>
          <w:sz w:val="24"/>
          <w:szCs w:val="24"/>
        </w:rPr>
        <w:t>/</w:t>
      </w:r>
      <w:r w:rsidR="00457D96" w:rsidRPr="00276611">
        <w:rPr>
          <w:rFonts w:cstheme="minorHAnsi"/>
          <w:sz w:val="24"/>
          <w:szCs w:val="24"/>
        </w:rPr>
        <w:t>million but require 12.5 beds</w:t>
      </w:r>
      <w:r w:rsidR="005A7A6C" w:rsidRPr="00276611">
        <w:rPr>
          <w:rFonts w:cstheme="minorHAnsi"/>
          <w:sz w:val="24"/>
          <w:szCs w:val="24"/>
        </w:rPr>
        <w:t>/</w:t>
      </w:r>
      <w:r w:rsidR="00457D96" w:rsidRPr="00276611">
        <w:rPr>
          <w:rFonts w:cstheme="minorHAnsi"/>
          <w:sz w:val="24"/>
          <w:szCs w:val="24"/>
        </w:rPr>
        <w:t>million</w:t>
      </w:r>
      <w:r w:rsidR="00AA48D5" w:rsidRPr="00276611">
        <w:rPr>
          <w:rFonts w:cstheme="minorHAnsi"/>
          <w:sz w:val="24"/>
          <w:szCs w:val="24"/>
        </w:rPr>
        <w:t xml:space="preserve">, with an average </w:t>
      </w:r>
      <w:r w:rsidR="007773BB" w:rsidRPr="00276611">
        <w:rPr>
          <w:rFonts w:cstheme="minorHAnsi"/>
          <w:sz w:val="24"/>
          <w:szCs w:val="24"/>
        </w:rPr>
        <w:t xml:space="preserve">of 107 days LoS. </w:t>
      </w:r>
      <w:r w:rsidR="00061A3C" w:rsidRPr="00276611">
        <w:rPr>
          <w:rFonts w:cstheme="minorHAnsi"/>
          <w:sz w:val="24"/>
          <w:szCs w:val="24"/>
        </w:rPr>
        <w:t>Since Covid</w:t>
      </w:r>
      <w:r w:rsidR="00ED3E38" w:rsidRPr="00276611">
        <w:rPr>
          <w:rFonts w:cstheme="minorHAnsi"/>
          <w:sz w:val="24"/>
          <w:szCs w:val="24"/>
        </w:rPr>
        <w:t xml:space="preserve">-19 the demand </w:t>
      </w:r>
      <w:r w:rsidR="000E05E4" w:rsidRPr="00276611">
        <w:rPr>
          <w:rFonts w:cstheme="minorHAnsi"/>
          <w:sz w:val="24"/>
          <w:szCs w:val="24"/>
        </w:rPr>
        <w:t>for inpatient beds</w:t>
      </w:r>
      <w:r w:rsidR="00771615" w:rsidRPr="00276611">
        <w:rPr>
          <w:rFonts w:cstheme="minorHAnsi"/>
          <w:sz w:val="24"/>
          <w:szCs w:val="24"/>
        </w:rPr>
        <w:t xml:space="preserve"> in the HOPE PC</w:t>
      </w:r>
      <w:r w:rsidR="000E05E4" w:rsidRPr="00276611">
        <w:rPr>
          <w:rFonts w:cstheme="minorHAnsi"/>
          <w:sz w:val="24"/>
          <w:szCs w:val="24"/>
        </w:rPr>
        <w:t xml:space="preserve"> </w:t>
      </w:r>
      <w:r w:rsidR="00ED3E38" w:rsidRPr="00276611">
        <w:rPr>
          <w:rFonts w:cstheme="minorHAnsi"/>
          <w:sz w:val="24"/>
          <w:szCs w:val="24"/>
        </w:rPr>
        <w:t>has increased by a further 20%</w:t>
      </w:r>
      <w:r w:rsidR="009758AD" w:rsidRPr="00276611">
        <w:rPr>
          <w:rFonts w:cstheme="minorHAnsi"/>
          <w:sz w:val="24"/>
          <w:szCs w:val="24"/>
        </w:rPr>
        <w:t xml:space="preserve"> (</w:t>
      </w:r>
      <w:r w:rsidR="009F0F37">
        <w:rPr>
          <w:rFonts w:cstheme="minorHAnsi"/>
          <w:sz w:val="24"/>
          <w:szCs w:val="24"/>
        </w:rPr>
        <w:t>i.e.</w:t>
      </w:r>
      <w:r w:rsidR="00C12579">
        <w:rPr>
          <w:rFonts w:cstheme="minorHAnsi"/>
          <w:sz w:val="24"/>
          <w:szCs w:val="24"/>
        </w:rPr>
        <w:t>,</w:t>
      </w:r>
      <w:r w:rsidR="009F0F37">
        <w:rPr>
          <w:rFonts w:cstheme="minorHAnsi"/>
          <w:sz w:val="24"/>
          <w:szCs w:val="24"/>
        </w:rPr>
        <w:t xml:space="preserve"> </w:t>
      </w:r>
      <w:r w:rsidR="00B86DAE">
        <w:rPr>
          <w:rFonts w:cstheme="minorHAnsi"/>
          <w:sz w:val="24"/>
          <w:szCs w:val="24"/>
        </w:rPr>
        <w:t xml:space="preserve">15 beds/million population, </w:t>
      </w:r>
      <w:r w:rsidR="009758AD" w:rsidRPr="00276611">
        <w:rPr>
          <w:rFonts w:cstheme="minorHAnsi"/>
          <w:sz w:val="24"/>
          <w:szCs w:val="24"/>
        </w:rPr>
        <w:t xml:space="preserve">Ayton </w:t>
      </w:r>
      <w:r w:rsidR="009758AD" w:rsidRPr="00276611">
        <w:rPr>
          <w:rFonts w:cstheme="minorHAnsi"/>
          <w:i/>
          <w:iCs/>
          <w:sz w:val="24"/>
          <w:szCs w:val="24"/>
        </w:rPr>
        <w:t>et al</w:t>
      </w:r>
      <w:r w:rsidR="009758AD" w:rsidRPr="00276611">
        <w:rPr>
          <w:rFonts w:cstheme="minorHAnsi"/>
          <w:sz w:val="24"/>
          <w:szCs w:val="24"/>
        </w:rPr>
        <w:t>., 2021)</w:t>
      </w:r>
      <w:r w:rsidR="000E05E4" w:rsidRPr="00276611">
        <w:rPr>
          <w:rFonts w:cstheme="minorHAnsi"/>
          <w:sz w:val="24"/>
          <w:szCs w:val="24"/>
        </w:rPr>
        <w:t>.</w:t>
      </w:r>
      <w:r w:rsidR="000365F8" w:rsidRPr="00276611">
        <w:rPr>
          <w:rFonts w:cstheme="minorHAnsi"/>
          <w:sz w:val="24"/>
          <w:szCs w:val="24"/>
        </w:rPr>
        <w:t xml:space="preserve"> </w:t>
      </w:r>
    </w:p>
    <w:p w14:paraId="517B0632" w14:textId="2BABB5AF" w:rsidR="00704880" w:rsidRPr="00704880" w:rsidRDefault="00704880" w:rsidP="00704880">
      <w:pPr>
        <w:spacing w:line="480" w:lineRule="auto"/>
        <w:rPr>
          <w:rFonts w:cstheme="minorHAnsi"/>
          <w:sz w:val="24"/>
          <w:szCs w:val="24"/>
        </w:rPr>
      </w:pPr>
      <w:r w:rsidRPr="00704880">
        <w:rPr>
          <w:rFonts w:cstheme="minorHAnsi"/>
          <w:sz w:val="24"/>
          <w:szCs w:val="24"/>
        </w:rPr>
        <w:t xml:space="preserve">The HOPE NCM provided a context for piloting the ‘Oxford Model’ of </w:t>
      </w:r>
      <w:r w:rsidR="00A97B33" w:rsidRPr="00A97B33">
        <w:rPr>
          <w:rFonts w:cstheme="minorHAnsi"/>
          <w:sz w:val="24"/>
          <w:szCs w:val="24"/>
        </w:rPr>
        <w:t xml:space="preserve">integrated </w:t>
      </w:r>
      <w:r w:rsidR="00A97B33">
        <w:rPr>
          <w:rFonts w:cstheme="minorHAnsi"/>
          <w:sz w:val="24"/>
          <w:szCs w:val="24"/>
        </w:rPr>
        <w:t xml:space="preserve">cognitive </w:t>
      </w:r>
      <w:r w:rsidR="006C46BA">
        <w:rPr>
          <w:rFonts w:cstheme="minorHAnsi"/>
          <w:sz w:val="24"/>
          <w:szCs w:val="24"/>
        </w:rPr>
        <w:t xml:space="preserve">behavioural therapy </w:t>
      </w:r>
      <w:r w:rsidR="00A97B33" w:rsidRPr="00A97B33">
        <w:rPr>
          <w:rFonts w:cstheme="minorHAnsi"/>
          <w:sz w:val="24"/>
          <w:szCs w:val="24"/>
        </w:rPr>
        <w:t xml:space="preserve">for </w:t>
      </w:r>
      <w:r w:rsidR="00345E81">
        <w:rPr>
          <w:rFonts w:cstheme="minorHAnsi"/>
          <w:sz w:val="24"/>
          <w:szCs w:val="24"/>
        </w:rPr>
        <w:t>ED</w:t>
      </w:r>
      <w:r w:rsidR="00A97B33" w:rsidRPr="00A97B33">
        <w:rPr>
          <w:rFonts w:cstheme="minorHAnsi"/>
          <w:sz w:val="24"/>
          <w:szCs w:val="24"/>
        </w:rPr>
        <w:t xml:space="preserve"> (I-CBTE) </w:t>
      </w:r>
      <w:r w:rsidRPr="00704880">
        <w:rPr>
          <w:rFonts w:cstheme="minorHAnsi"/>
          <w:sz w:val="24"/>
          <w:szCs w:val="24"/>
        </w:rPr>
        <w:t xml:space="preserve">with promising outcomes </w:t>
      </w:r>
      <w:r w:rsidR="00561F44">
        <w:rPr>
          <w:rFonts w:cstheme="minorHAnsi"/>
          <w:sz w:val="24"/>
          <w:szCs w:val="24"/>
        </w:rPr>
        <w:t xml:space="preserve">in </w:t>
      </w:r>
      <w:r w:rsidR="001902B3">
        <w:rPr>
          <w:rFonts w:cstheme="minorHAnsi"/>
          <w:sz w:val="24"/>
          <w:szCs w:val="24"/>
        </w:rPr>
        <w:t xml:space="preserve">Oxford </w:t>
      </w:r>
      <w:r w:rsidRPr="00704880">
        <w:rPr>
          <w:rFonts w:cstheme="minorHAnsi"/>
          <w:sz w:val="24"/>
          <w:szCs w:val="24"/>
        </w:rPr>
        <w:t xml:space="preserve">(Ayton </w:t>
      </w:r>
      <w:r w:rsidRPr="00704880">
        <w:rPr>
          <w:rFonts w:cstheme="minorHAnsi"/>
          <w:i/>
          <w:iCs/>
          <w:sz w:val="24"/>
          <w:szCs w:val="24"/>
        </w:rPr>
        <w:t xml:space="preserve">et al., </w:t>
      </w:r>
      <w:r w:rsidRPr="00704880">
        <w:rPr>
          <w:rFonts w:cstheme="minorHAnsi"/>
          <w:sz w:val="24"/>
          <w:szCs w:val="24"/>
        </w:rPr>
        <w:t xml:space="preserve">2021; Gardner &amp; Trueman, 2021). In essence, I-CBTE </w:t>
      </w:r>
      <w:r w:rsidR="001F3C1C">
        <w:rPr>
          <w:rFonts w:cstheme="minorHAnsi"/>
          <w:sz w:val="24"/>
          <w:szCs w:val="24"/>
        </w:rPr>
        <w:t>offers</w:t>
      </w:r>
      <w:r w:rsidRPr="00704880">
        <w:rPr>
          <w:rFonts w:cstheme="minorHAnsi"/>
          <w:sz w:val="24"/>
          <w:szCs w:val="24"/>
        </w:rPr>
        <w:t xml:space="preserve"> a single evidence-based psychological model (</w:t>
      </w:r>
      <w:r w:rsidR="006A6F58">
        <w:rPr>
          <w:rFonts w:cstheme="minorHAnsi"/>
          <w:sz w:val="24"/>
          <w:szCs w:val="24"/>
        </w:rPr>
        <w:t>based on e</w:t>
      </w:r>
      <w:r w:rsidRPr="00704880">
        <w:rPr>
          <w:rFonts w:cstheme="minorHAnsi"/>
          <w:sz w:val="24"/>
          <w:szCs w:val="24"/>
        </w:rPr>
        <w:t xml:space="preserve">nhanced CBT for </w:t>
      </w:r>
      <w:r w:rsidR="00345E81">
        <w:rPr>
          <w:rFonts w:cstheme="minorHAnsi"/>
          <w:sz w:val="24"/>
          <w:szCs w:val="24"/>
        </w:rPr>
        <w:t>ED</w:t>
      </w:r>
      <w:r w:rsidRPr="00704880">
        <w:rPr>
          <w:rFonts w:cstheme="minorHAnsi"/>
          <w:sz w:val="24"/>
          <w:szCs w:val="24"/>
        </w:rPr>
        <w:t xml:space="preserve">, Calugi </w:t>
      </w:r>
      <w:r w:rsidRPr="00704880">
        <w:rPr>
          <w:rFonts w:cstheme="minorHAnsi"/>
          <w:i/>
          <w:iCs/>
          <w:sz w:val="24"/>
          <w:szCs w:val="24"/>
        </w:rPr>
        <w:t>et al</w:t>
      </w:r>
      <w:r w:rsidRPr="00704880">
        <w:rPr>
          <w:rFonts w:cstheme="minorHAnsi"/>
          <w:sz w:val="24"/>
          <w:szCs w:val="24"/>
        </w:rPr>
        <w:t xml:space="preserve">., 2017) across the inpatient, day and outpatient services. Where possible, therapy starts before the admission and continues during and after discharge (40 sessions in total) and is delivered by the same psychological therapist rather than </w:t>
      </w:r>
      <w:r w:rsidR="0025497C">
        <w:rPr>
          <w:rFonts w:cstheme="minorHAnsi"/>
          <w:sz w:val="24"/>
          <w:szCs w:val="24"/>
        </w:rPr>
        <w:t xml:space="preserve">having </w:t>
      </w:r>
      <w:r w:rsidRPr="00704880">
        <w:rPr>
          <w:rFonts w:cstheme="minorHAnsi"/>
          <w:sz w:val="24"/>
          <w:szCs w:val="24"/>
        </w:rPr>
        <w:t xml:space="preserve">handovers between therapists. A detailed I-CBTE formulation ensures continuity and consistency in the client and MDT’s understanding of the </w:t>
      </w:r>
      <w:r w:rsidR="00345E81">
        <w:rPr>
          <w:rFonts w:cstheme="minorHAnsi"/>
          <w:sz w:val="24"/>
          <w:szCs w:val="24"/>
        </w:rPr>
        <w:t>ED</w:t>
      </w:r>
      <w:r w:rsidRPr="00704880">
        <w:rPr>
          <w:rFonts w:cstheme="minorHAnsi"/>
          <w:sz w:val="24"/>
          <w:szCs w:val="24"/>
        </w:rPr>
        <w:t xml:space="preserve"> as well as the treatment plan to address the relevant maintaining factors. The I-CBTE formulation, expands on the CBT-E formulation described by Fairburn (2008) and the stepped</w:t>
      </w:r>
      <w:r w:rsidR="00E377F8">
        <w:rPr>
          <w:rFonts w:cstheme="minorHAnsi"/>
          <w:sz w:val="24"/>
          <w:szCs w:val="24"/>
        </w:rPr>
        <w:t>-</w:t>
      </w:r>
      <w:r w:rsidRPr="00704880">
        <w:rPr>
          <w:rFonts w:cstheme="minorHAnsi"/>
          <w:sz w:val="24"/>
          <w:szCs w:val="24"/>
        </w:rPr>
        <w:t>care model of Dalle Grave (2013). Rather than traditional CBT, which is delivered in a 1-1 format between therapist and client, I-CBTE endeavours to deliver CBT for ED by the whole multi-disciplinary team (MDT). The individualised I-CBTE formulation for every client, also considers additional maintaining factors (e.g., physical and mental health co-morbidities</w:t>
      </w:r>
      <w:r w:rsidR="00BC19E1">
        <w:rPr>
          <w:rFonts w:cstheme="minorHAnsi"/>
          <w:sz w:val="24"/>
          <w:szCs w:val="24"/>
        </w:rPr>
        <w:t xml:space="preserve">; </w:t>
      </w:r>
      <w:r w:rsidRPr="00704880">
        <w:rPr>
          <w:rFonts w:cstheme="minorHAnsi"/>
          <w:sz w:val="24"/>
          <w:szCs w:val="24"/>
        </w:rPr>
        <w:t xml:space="preserve"> social care factors such as housing, education/employment) and guides the roles of </w:t>
      </w:r>
      <w:r w:rsidR="0055212B">
        <w:rPr>
          <w:rFonts w:cstheme="minorHAnsi"/>
          <w:sz w:val="24"/>
          <w:szCs w:val="24"/>
        </w:rPr>
        <w:t xml:space="preserve">every </w:t>
      </w:r>
      <w:r w:rsidRPr="00704880">
        <w:rPr>
          <w:rFonts w:cstheme="minorHAnsi"/>
          <w:sz w:val="24"/>
          <w:szCs w:val="24"/>
        </w:rPr>
        <w:t xml:space="preserve">MDT </w:t>
      </w:r>
      <w:r w:rsidR="0055212B">
        <w:rPr>
          <w:rFonts w:cstheme="minorHAnsi"/>
          <w:sz w:val="24"/>
          <w:szCs w:val="24"/>
        </w:rPr>
        <w:t xml:space="preserve">member </w:t>
      </w:r>
      <w:r w:rsidRPr="00704880">
        <w:rPr>
          <w:rFonts w:cstheme="minorHAnsi"/>
          <w:sz w:val="24"/>
          <w:szCs w:val="24"/>
        </w:rPr>
        <w:t xml:space="preserve">in terms of how to best support the client. </w:t>
      </w:r>
      <w:r w:rsidR="003F329A">
        <w:rPr>
          <w:rFonts w:cstheme="minorHAnsi"/>
          <w:sz w:val="24"/>
          <w:szCs w:val="24"/>
        </w:rPr>
        <w:t>M</w:t>
      </w:r>
      <w:r w:rsidRPr="00704880">
        <w:rPr>
          <w:rFonts w:cstheme="minorHAnsi"/>
          <w:sz w:val="24"/>
          <w:szCs w:val="24"/>
        </w:rPr>
        <w:t xml:space="preserve">embers of the MDT work in a co-ordinated and collaborative approach with the client to address their range of maintaining factors through weekly goals setting and the development of new skills and strategies (Ayton </w:t>
      </w:r>
      <w:r w:rsidRPr="00704880">
        <w:rPr>
          <w:rFonts w:cstheme="minorHAnsi"/>
          <w:i/>
          <w:iCs/>
          <w:sz w:val="24"/>
          <w:szCs w:val="24"/>
        </w:rPr>
        <w:t>et al.,</w:t>
      </w:r>
      <w:r w:rsidRPr="00704880">
        <w:rPr>
          <w:rFonts w:cstheme="minorHAnsi"/>
          <w:sz w:val="24"/>
          <w:szCs w:val="24"/>
        </w:rPr>
        <w:t xml:space="preserve"> 2021; Gardner &amp; Trueman, 2021). </w:t>
      </w:r>
    </w:p>
    <w:p w14:paraId="5A5BD686" w14:textId="1BCFBC02" w:rsidR="00601F84" w:rsidRPr="000C3D2C" w:rsidRDefault="00601F84" w:rsidP="000C3D2C">
      <w:pPr>
        <w:spacing w:line="480" w:lineRule="auto"/>
        <w:rPr>
          <w:rFonts w:cstheme="minorHAnsi"/>
          <w:sz w:val="24"/>
          <w:szCs w:val="24"/>
        </w:rPr>
      </w:pPr>
      <w:r w:rsidRPr="000C3D2C">
        <w:rPr>
          <w:rFonts w:cstheme="minorHAnsi"/>
          <w:sz w:val="24"/>
          <w:szCs w:val="24"/>
        </w:rPr>
        <w:t xml:space="preserve">There were significant variations in </w:t>
      </w:r>
      <w:r w:rsidR="002C79DD" w:rsidRPr="000C3D2C">
        <w:rPr>
          <w:rFonts w:cstheme="minorHAnsi"/>
          <w:sz w:val="24"/>
          <w:szCs w:val="24"/>
        </w:rPr>
        <w:t xml:space="preserve">LoS </w:t>
      </w:r>
      <w:r w:rsidRPr="000C3D2C">
        <w:rPr>
          <w:rFonts w:cstheme="minorHAnsi"/>
          <w:sz w:val="24"/>
          <w:szCs w:val="24"/>
        </w:rPr>
        <w:t>and short-term outcomes between</w:t>
      </w:r>
      <w:r w:rsidR="00832AD5">
        <w:rPr>
          <w:rFonts w:cstheme="minorHAnsi"/>
          <w:sz w:val="24"/>
          <w:szCs w:val="24"/>
        </w:rPr>
        <w:t xml:space="preserve"> PC inpatient </w:t>
      </w:r>
      <w:r w:rsidRPr="000C3D2C">
        <w:rPr>
          <w:rFonts w:cstheme="minorHAnsi"/>
          <w:sz w:val="24"/>
          <w:szCs w:val="24"/>
        </w:rPr>
        <w:t xml:space="preserve">providers. Independent providers offered longer average </w:t>
      </w:r>
      <w:r w:rsidR="00261C9B" w:rsidRPr="000C3D2C">
        <w:rPr>
          <w:rFonts w:cstheme="minorHAnsi"/>
          <w:sz w:val="24"/>
          <w:szCs w:val="24"/>
        </w:rPr>
        <w:t>LoS</w:t>
      </w:r>
      <w:r w:rsidRPr="000C3D2C">
        <w:rPr>
          <w:rFonts w:cstheme="minorHAnsi"/>
          <w:sz w:val="24"/>
          <w:szCs w:val="24"/>
        </w:rPr>
        <w:t xml:space="preserve">, compared to NHS inpatient providers, which corresponds with the findings of NEL </w:t>
      </w:r>
      <w:r w:rsidRPr="00515591">
        <w:rPr>
          <w:rFonts w:cstheme="minorHAnsi"/>
          <w:sz w:val="24"/>
          <w:szCs w:val="24"/>
        </w:rPr>
        <w:t>(2019)</w:t>
      </w:r>
      <w:r w:rsidR="005C6CAF">
        <w:rPr>
          <w:rFonts w:cstheme="minorHAnsi"/>
          <w:sz w:val="24"/>
          <w:szCs w:val="24"/>
        </w:rPr>
        <w:t xml:space="preserve"> who reported that </w:t>
      </w:r>
      <w:r w:rsidR="00E81987">
        <w:rPr>
          <w:rFonts w:cstheme="minorHAnsi"/>
          <w:sz w:val="24"/>
          <w:szCs w:val="24"/>
        </w:rPr>
        <w:t xml:space="preserve">admissions to </w:t>
      </w:r>
      <w:r w:rsidR="002F4EF9">
        <w:rPr>
          <w:rFonts w:cstheme="minorHAnsi"/>
          <w:sz w:val="24"/>
          <w:szCs w:val="24"/>
        </w:rPr>
        <w:t>i</w:t>
      </w:r>
      <w:r w:rsidR="00E81987">
        <w:rPr>
          <w:rFonts w:cstheme="minorHAnsi"/>
          <w:sz w:val="24"/>
          <w:szCs w:val="24"/>
        </w:rPr>
        <w:t xml:space="preserve">ndependent providers </w:t>
      </w:r>
      <w:r w:rsidR="007E1904">
        <w:rPr>
          <w:rFonts w:cstheme="minorHAnsi"/>
          <w:sz w:val="24"/>
          <w:szCs w:val="24"/>
        </w:rPr>
        <w:t xml:space="preserve">in England </w:t>
      </w:r>
      <w:r w:rsidR="00C35D55">
        <w:rPr>
          <w:rFonts w:cstheme="minorHAnsi"/>
          <w:sz w:val="24"/>
          <w:szCs w:val="24"/>
        </w:rPr>
        <w:t>had longer stays</w:t>
      </w:r>
      <w:r w:rsidR="007E1904">
        <w:rPr>
          <w:rFonts w:cstheme="minorHAnsi"/>
          <w:sz w:val="24"/>
          <w:szCs w:val="24"/>
        </w:rPr>
        <w:t xml:space="preserve"> compared to </w:t>
      </w:r>
      <w:r w:rsidR="001B1997">
        <w:rPr>
          <w:rFonts w:cstheme="minorHAnsi"/>
          <w:sz w:val="24"/>
          <w:szCs w:val="24"/>
        </w:rPr>
        <w:t xml:space="preserve">NHS providers. </w:t>
      </w:r>
      <w:r w:rsidRPr="00515591">
        <w:rPr>
          <w:rFonts w:cstheme="minorHAnsi"/>
          <w:sz w:val="24"/>
          <w:szCs w:val="24"/>
        </w:rPr>
        <w:t xml:space="preserve">Additionally, </w:t>
      </w:r>
      <w:r w:rsidR="00E34A7C" w:rsidRPr="00515591">
        <w:rPr>
          <w:rFonts w:cstheme="minorHAnsi"/>
          <w:sz w:val="24"/>
          <w:szCs w:val="24"/>
        </w:rPr>
        <w:t>the Oxford pilot of</w:t>
      </w:r>
      <w:r w:rsidR="00E34A7C" w:rsidRPr="00276611">
        <w:t xml:space="preserve"> </w:t>
      </w:r>
      <w:r w:rsidR="00E34A7C">
        <w:rPr>
          <w:rFonts w:cstheme="minorHAnsi"/>
          <w:sz w:val="24"/>
          <w:szCs w:val="24"/>
        </w:rPr>
        <w:t>I-CBTE</w:t>
      </w:r>
      <w:r w:rsidR="00861800">
        <w:rPr>
          <w:rFonts w:cstheme="minorHAnsi"/>
          <w:sz w:val="24"/>
          <w:szCs w:val="24"/>
        </w:rPr>
        <w:t>,</w:t>
      </w:r>
      <w:r w:rsidR="00E34A7C" w:rsidRPr="000C3D2C">
        <w:rPr>
          <w:rFonts w:cstheme="minorHAnsi"/>
          <w:sz w:val="24"/>
          <w:szCs w:val="24"/>
        </w:rPr>
        <w:t xml:space="preserve"> </w:t>
      </w:r>
      <w:r w:rsidR="00861800" w:rsidRPr="00515591">
        <w:rPr>
          <w:rFonts w:cstheme="minorHAnsi"/>
          <w:sz w:val="24"/>
          <w:szCs w:val="24"/>
        </w:rPr>
        <w:t>compared to eclectic model</w:t>
      </w:r>
      <w:r w:rsidR="00DB652B">
        <w:rPr>
          <w:rFonts w:cstheme="minorHAnsi"/>
          <w:sz w:val="24"/>
          <w:szCs w:val="24"/>
        </w:rPr>
        <w:t>s</w:t>
      </w:r>
      <w:r w:rsidR="00861800" w:rsidRPr="00515591">
        <w:rPr>
          <w:rFonts w:cstheme="minorHAnsi"/>
          <w:sz w:val="24"/>
          <w:szCs w:val="24"/>
        </w:rPr>
        <w:t xml:space="preserve"> of other </w:t>
      </w:r>
      <w:r w:rsidR="00B2027E">
        <w:rPr>
          <w:rFonts w:cstheme="minorHAnsi"/>
          <w:sz w:val="24"/>
          <w:szCs w:val="24"/>
        </w:rPr>
        <w:t xml:space="preserve">UK </w:t>
      </w:r>
      <w:r w:rsidR="00861800" w:rsidRPr="00515591">
        <w:rPr>
          <w:rFonts w:cstheme="minorHAnsi"/>
          <w:sz w:val="24"/>
          <w:szCs w:val="24"/>
        </w:rPr>
        <w:t>inpatient providers</w:t>
      </w:r>
      <w:r w:rsidR="00861800">
        <w:rPr>
          <w:rFonts w:cstheme="minorHAnsi"/>
          <w:sz w:val="24"/>
          <w:szCs w:val="24"/>
        </w:rPr>
        <w:t>,</w:t>
      </w:r>
      <w:r w:rsidR="00861800" w:rsidRPr="000C3D2C">
        <w:rPr>
          <w:rFonts w:cstheme="minorHAnsi"/>
          <w:sz w:val="24"/>
          <w:szCs w:val="24"/>
        </w:rPr>
        <w:t xml:space="preserve"> </w:t>
      </w:r>
      <w:r w:rsidR="00E34A7C" w:rsidRPr="000C3D2C">
        <w:rPr>
          <w:rFonts w:cstheme="minorHAnsi"/>
          <w:sz w:val="24"/>
          <w:szCs w:val="24"/>
        </w:rPr>
        <w:t>achieved higher mean discharge BMIs (</w:t>
      </w:r>
      <w:r w:rsidR="00102693">
        <w:rPr>
          <w:rFonts w:cstheme="minorHAnsi"/>
          <w:sz w:val="24"/>
          <w:szCs w:val="24"/>
        </w:rPr>
        <w:t>18.2</w:t>
      </w:r>
      <w:r w:rsidR="00E34A7C" w:rsidRPr="000C3D2C">
        <w:rPr>
          <w:rFonts w:cstheme="minorHAnsi"/>
          <w:sz w:val="24"/>
          <w:szCs w:val="24"/>
        </w:rPr>
        <w:t xml:space="preserve"> versus 1</w:t>
      </w:r>
      <w:r w:rsidR="00102693">
        <w:rPr>
          <w:rFonts w:cstheme="minorHAnsi"/>
          <w:sz w:val="24"/>
          <w:szCs w:val="24"/>
        </w:rPr>
        <w:t>7</w:t>
      </w:r>
      <w:r w:rsidR="00E34A7C" w:rsidRPr="000C3D2C">
        <w:rPr>
          <w:rFonts w:cstheme="minorHAnsi"/>
          <w:sz w:val="24"/>
          <w:szCs w:val="24"/>
        </w:rPr>
        <w:t xml:space="preserve"> respectively) in a shorter mean admission </w:t>
      </w:r>
      <w:r w:rsidR="00E34A7C">
        <w:rPr>
          <w:rFonts w:cstheme="minorHAnsi"/>
          <w:sz w:val="24"/>
          <w:szCs w:val="24"/>
        </w:rPr>
        <w:t>period</w:t>
      </w:r>
      <w:r w:rsidR="00E34A7C" w:rsidRPr="000C3D2C">
        <w:rPr>
          <w:rFonts w:cstheme="minorHAnsi"/>
          <w:sz w:val="24"/>
          <w:szCs w:val="24"/>
        </w:rPr>
        <w:t xml:space="preserve"> (</w:t>
      </w:r>
      <w:r w:rsidR="00102693">
        <w:rPr>
          <w:rFonts w:cstheme="minorHAnsi"/>
          <w:sz w:val="24"/>
          <w:szCs w:val="24"/>
        </w:rPr>
        <w:t xml:space="preserve">85 vs 107 </w:t>
      </w:r>
      <w:r w:rsidR="00E34A7C" w:rsidRPr="000C3D2C">
        <w:rPr>
          <w:rFonts w:cstheme="minorHAnsi"/>
          <w:sz w:val="24"/>
          <w:szCs w:val="24"/>
        </w:rPr>
        <w:t>bed days respectively).</w:t>
      </w:r>
      <w:r w:rsidRPr="00515591">
        <w:rPr>
          <w:rFonts w:cstheme="minorHAnsi"/>
          <w:sz w:val="24"/>
          <w:szCs w:val="24"/>
        </w:rPr>
        <w:t xml:space="preserve"> </w:t>
      </w:r>
      <w:r w:rsidRPr="000C3D2C">
        <w:rPr>
          <w:rFonts w:cstheme="minorHAnsi"/>
          <w:sz w:val="24"/>
          <w:szCs w:val="24"/>
        </w:rPr>
        <w:t xml:space="preserve">More effective evidence-based models of </w:t>
      </w:r>
      <w:r w:rsidR="00CD608A">
        <w:rPr>
          <w:rFonts w:cstheme="minorHAnsi"/>
          <w:sz w:val="24"/>
          <w:szCs w:val="24"/>
        </w:rPr>
        <w:t xml:space="preserve">inpatient </w:t>
      </w:r>
      <w:r w:rsidRPr="000C3D2C">
        <w:rPr>
          <w:rFonts w:cstheme="minorHAnsi"/>
          <w:sz w:val="24"/>
          <w:szCs w:val="24"/>
        </w:rPr>
        <w:t xml:space="preserve">treatment, can therefore </w:t>
      </w:r>
      <w:r w:rsidR="00B41D71">
        <w:rPr>
          <w:rFonts w:cstheme="minorHAnsi"/>
          <w:sz w:val="24"/>
          <w:szCs w:val="24"/>
        </w:rPr>
        <w:t xml:space="preserve">reduce the average LoS, </w:t>
      </w:r>
      <w:r w:rsidRPr="000C3D2C">
        <w:rPr>
          <w:rFonts w:cstheme="minorHAnsi"/>
          <w:sz w:val="24"/>
          <w:szCs w:val="24"/>
        </w:rPr>
        <w:t xml:space="preserve">improve </w:t>
      </w:r>
      <w:r w:rsidR="000D1B69">
        <w:rPr>
          <w:rFonts w:cstheme="minorHAnsi"/>
          <w:sz w:val="24"/>
          <w:szCs w:val="24"/>
        </w:rPr>
        <w:t>throughput and capacity</w:t>
      </w:r>
      <w:r w:rsidRPr="000C3D2C">
        <w:rPr>
          <w:rFonts w:cstheme="minorHAnsi"/>
          <w:sz w:val="24"/>
          <w:szCs w:val="24"/>
        </w:rPr>
        <w:t xml:space="preserve">, </w:t>
      </w:r>
      <w:r w:rsidR="000D1B69">
        <w:rPr>
          <w:rFonts w:cstheme="minorHAnsi"/>
          <w:sz w:val="24"/>
          <w:szCs w:val="24"/>
        </w:rPr>
        <w:t xml:space="preserve">and </w:t>
      </w:r>
      <w:r w:rsidRPr="000C3D2C">
        <w:rPr>
          <w:rFonts w:cstheme="minorHAnsi"/>
          <w:sz w:val="24"/>
          <w:szCs w:val="24"/>
        </w:rPr>
        <w:t>ensure better outcomes</w:t>
      </w:r>
      <w:r w:rsidR="008B3589" w:rsidRPr="008B3589">
        <w:rPr>
          <w:rFonts w:cstheme="minorHAnsi"/>
          <w:sz w:val="24"/>
          <w:szCs w:val="24"/>
        </w:rPr>
        <w:t xml:space="preserve"> </w:t>
      </w:r>
      <w:r w:rsidR="008B3589">
        <w:rPr>
          <w:rFonts w:cstheme="minorHAnsi"/>
          <w:sz w:val="24"/>
          <w:szCs w:val="24"/>
        </w:rPr>
        <w:t>(</w:t>
      </w:r>
      <w:r w:rsidR="008B3589" w:rsidRPr="00704880">
        <w:rPr>
          <w:rFonts w:cstheme="minorHAnsi"/>
          <w:sz w:val="24"/>
          <w:szCs w:val="24"/>
        </w:rPr>
        <w:t xml:space="preserve">Ayton </w:t>
      </w:r>
      <w:r w:rsidR="008B3589" w:rsidRPr="00704880">
        <w:rPr>
          <w:rFonts w:cstheme="minorHAnsi"/>
          <w:i/>
          <w:iCs/>
          <w:sz w:val="24"/>
          <w:szCs w:val="24"/>
        </w:rPr>
        <w:t>et al.,</w:t>
      </w:r>
      <w:r w:rsidR="008B3589" w:rsidRPr="00704880">
        <w:rPr>
          <w:rFonts w:cstheme="minorHAnsi"/>
          <w:sz w:val="24"/>
          <w:szCs w:val="24"/>
        </w:rPr>
        <w:t xml:space="preserve"> 2021</w:t>
      </w:r>
      <w:r w:rsidR="008B3589">
        <w:rPr>
          <w:rFonts w:cstheme="minorHAnsi"/>
          <w:sz w:val="24"/>
          <w:szCs w:val="24"/>
        </w:rPr>
        <w:t>)</w:t>
      </w:r>
      <w:r w:rsidRPr="000C3D2C">
        <w:rPr>
          <w:rFonts w:cstheme="minorHAnsi"/>
          <w:sz w:val="24"/>
          <w:szCs w:val="24"/>
        </w:rPr>
        <w:t xml:space="preserve">. If the I-CBTE model was rolled out across the </w:t>
      </w:r>
      <w:r w:rsidR="00EF09BE">
        <w:rPr>
          <w:rFonts w:cstheme="minorHAnsi"/>
          <w:sz w:val="24"/>
          <w:szCs w:val="24"/>
        </w:rPr>
        <w:t xml:space="preserve">HOPE </w:t>
      </w:r>
      <w:r w:rsidRPr="000C3D2C">
        <w:rPr>
          <w:rFonts w:cstheme="minorHAnsi"/>
          <w:sz w:val="24"/>
          <w:szCs w:val="24"/>
        </w:rPr>
        <w:t xml:space="preserve">PC, it would </w:t>
      </w:r>
      <w:r w:rsidR="00D30BE2">
        <w:rPr>
          <w:rFonts w:cstheme="minorHAnsi"/>
          <w:sz w:val="24"/>
          <w:szCs w:val="24"/>
        </w:rPr>
        <w:t xml:space="preserve">improve </w:t>
      </w:r>
      <w:r w:rsidRPr="000C3D2C">
        <w:rPr>
          <w:rFonts w:cstheme="minorHAnsi"/>
          <w:sz w:val="24"/>
          <w:szCs w:val="24"/>
        </w:rPr>
        <w:t>bed capacity and require about 10 beds</w:t>
      </w:r>
      <w:r w:rsidR="000D6C33" w:rsidRPr="000C3D2C">
        <w:rPr>
          <w:rFonts w:cstheme="minorHAnsi"/>
          <w:sz w:val="24"/>
          <w:szCs w:val="24"/>
        </w:rPr>
        <w:t>/</w:t>
      </w:r>
      <w:r w:rsidRPr="000C3D2C">
        <w:rPr>
          <w:rFonts w:cstheme="minorHAnsi"/>
          <w:sz w:val="24"/>
          <w:szCs w:val="24"/>
        </w:rPr>
        <w:t>million p</w:t>
      </w:r>
      <w:r w:rsidR="000D6C33" w:rsidRPr="000C3D2C">
        <w:rPr>
          <w:rFonts w:cstheme="minorHAnsi"/>
          <w:sz w:val="24"/>
          <w:szCs w:val="24"/>
        </w:rPr>
        <w:t>opulation</w:t>
      </w:r>
      <w:r w:rsidRPr="000C3D2C">
        <w:rPr>
          <w:rFonts w:cstheme="minorHAnsi"/>
          <w:sz w:val="24"/>
          <w:szCs w:val="24"/>
        </w:rPr>
        <w:t>.</w:t>
      </w:r>
    </w:p>
    <w:p w14:paraId="15619289" w14:textId="1F9CDD8E" w:rsidR="00F763BB" w:rsidRPr="00060F9D" w:rsidRDefault="00AA1965" w:rsidP="00060F9D">
      <w:pPr>
        <w:spacing w:line="480" w:lineRule="auto"/>
        <w:rPr>
          <w:rFonts w:cstheme="minorHAnsi"/>
          <w:sz w:val="24"/>
          <w:szCs w:val="24"/>
        </w:rPr>
      </w:pPr>
      <w:r w:rsidRPr="00060F9D">
        <w:rPr>
          <w:rFonts w:cstheme="minorHAnsi"/>
          <w:sz w:val="24"/>
          <w:szCs w:val="24"/>
        </w:rPr>
        <w:t>P</w:t>
      </w:r>
      <w:r w:rsidR="00642EC8" w:rsidRPr="00060F9D">
        <w:rPr>
          <w:rFonts w:cstheme="minorHAnsi"/>
          <w:sz w:val="24"/>
          <w:szCs w:val="24"/>
        </w:rPr>
        <w:t>C</w:t>
      </w:r>
      <w:r w:rsidR="00DC70E4">
        <w:rPr>
          <w:rFonts w:cstheme="minorHAnsi"/>
          <w:sz w:val="24"/>
          <w:szCs w:val="24"/>
        </w:rPr>
        <w:t>s</w:t>
      </w:r>
      <w:r w:rsidR="00642EC8" w:rsidRPr="00060F9D">
        <w:rPr>
          <w:rFonts w:cstheme="minorHAnsi"/>
          <w:sz w:val="24"/>
          <w:szCs w:val="24"/>
        </w:rPr>
        <w:t xml:space="preserve"> for children and </w:t>
      </w:r>
      <w:r w:rsidR="00935ED0" w:rsidRPr="00060F9D">
        <w:rPr>
          <w:rFonts w:cstheme="minorHAnsi"/>
          <w:sz w:val="24"/>
          <w:szCs w:val="24"/>
        </w:rPr>
        <w:t xml:space="preserve">young people </w:t>
      </w:r>
      <w:r w:rsidR="00642EC8" w:rsidRPr="00060F9D">
        <w:rPr>
          <w:rFonts w:cstheme="minorHAnsi"/>
          <w:sz w:val="24"/>
          <w:szCs w:val="24"/>
        </w:rPr>
        <w:t xml:space="preserve">produced significant savings in inpatient costs (O’Shea, 2020), but not for adult secure sites (Niche, 2018). Given the </w:t>
      </w:r>
      <w:r w:rsidR="00B230D0" w:rsidRPr="00060F9D">
        <w:rPr>
          <w:rFonts w:cstheme="minorHAnsi"/>
          <w:sz w:val="24"/>
          <w:szCs w:val="24"/>
        </w:rPr>
        <w:t>vast</w:t>
      </w:r>
      <w:r w:rsidR="00642EC8" w:rsidRPr="00060F9D">
        <w:rPr>
          <w:rFonts w:cstheme="minorHAnsi"/>
          <w:sz w:val="24"/>
          <w:szCs w:val="24"/>
        </w:rPr>
        <w:t xml:space="preserve"> demand and capacity discrepancies, postcode lotteries of services (e.g.</w:t>
      </w:r>
      <w:r w:rsidR="00246E49" w:rsidRPr="00060F9D">
        <w:rPr>
          <w:rFonts w:cstheme="minorHAnsi"/>
          <w:sz w:val="24"/>
          <w:szCs w:val="24"/>
        </w:rPr>
        <w:t>,</w:t>
      </w:r>
      <w:r w:rsidR="00642EC8" w:rsidRPr="00060F9D">
        <w:rPr>
          <w:rFonts w:cstheme="minorHAnsi"/>
          <w:sz w:val="24"/>
          <w:szCs w:val="24"/>
        </w:rPr>
        <w:t xml:space="preserve"> some PCs will have an over or under supply of inpatient services)</w:t>
      </w:r>
      <w:r w:rsidR="003842E0" w:rsidRPr="00060F9D">
        <w:rPr>
          <w:rFonts w:cstheme="minorHAnsi"/>
          <w:sz w:val="24"/>
          <w:szCs w:val="24"/>
        </w:rPr>
        <w:t xml:space="preserve"> and variances in LoS across providers</w:t>
      </w:r>
      <w:r w:rsidR="00742371" w:rsidRPr="00060F9D">
        <w:rPr>
          <w:rFonts w:cstheme="minorHAnsi"/>
          <w:sz w:val="24"/>
          <w:szCs w:val="24"/>
        </w:rPr>
        <w:t xml:space="preserve"> </w:t>
      </w:r>
      <w:r w:rsidR="00642EC8" w:rsidRPr="00060F9D">
        <w:rPr>
          <w:rFonts w:cstheme="minorHAnsi"/>
          <w:sz w:val="24"/>
          <w:szCs w:val="24"/>
        </w:rPr>
        <w:t>it is possible that not all adult ED PCs will make cost savings to invest in</w:t>
      </w:r>
      <w:r w:rsidR="00345E81">
        <w:rPr>
          <w:rFonts w:cstheme="minorHAnsi"/>
          <w:sz w:val="24"/>
          <w:szCs w:val="24"/>
        </w:rPr>
        <w:t xml:space="preserve"> </w:t>
      </w:r>
      <w:r w:rsidR="00642EC8" w:rsidRPr="00060F9D">
        <w:rPr>
          <w:rFonts w:cstheme="minorHAnsi"/>
          <w:sz w:val="24"/>
          <w:szCs w:val="24"/>
        </w:rPr>
        <w:t xml:space="preserve">community ED services. </w:t>
      </w:r>
    </w:p>
    <w:p w14:paraId="572C834A" w14:textId="1961ACF9" w:rsidR="009E1D0C" w:rsidRPr="009D5B59" w:rsidRDefault="00DB51FD" w:rsidP="009D5B59">
      <w:pPr>
        <w:spacing w:line="480" w:lineRule="auto"/>
        <w:rPr>
          <w:rFonts w:cstheme="minorHAnsi"/>
          <w:sz w:val="24"/>
          <w:szCs w:val="24"/>
        </w:rPr>
      </w:pPr>
      <w:r w:rsidRPr="009D5B59">
        <w:rPr>
          <w:rFonts w:cstheme="minorHAnsi"/>
          <w:sz w:val="24"/>
          <w:szCs w:val="24"/>
        </w:rPr>
        <w:t>T</w:t>
      </w:r>
      <w:r w:rsidR="00142EBB" w:rsidRPr="009D5B59">
        <w:rPr>
          <w:rFonts w:cstheme="minorHAnsi"/>
          <w:sz w:val="24"/>
          <w:szCs w:val="24"/>
        </w:rPr>
        <w:t xml:space="preserve">he actual capacity and number of beds available for the HOPE network, </w:t>
      </w:r>
      <w:r w:rsidR="00515BE6" w:rsidRPr="009D5B59">
        <w:rPr>
          <w:rFonts w:cstheme="minorHAnsi"/>
          <w:sz w:val="24"/>
          <w:szCs w:val="24"/>
        </w:rPr>
        <w:t>remained unclear throughout</w:t>
      </w:r>
      <w:r w:rsidR="00256483" w:rsidRPr="009D5B59">
        <w:rPr>
          <w:rFonts w:cstheme="minorHAnsi"/>
          <w:sz w:val="24"/>
          <w:szCs w:val="24"/>
        </w:rPr>
        <w:t xml:space="preserve"> the</w:t>
      </w:r>
      <w:r w:rsidR="00515BE6" w:rsidRPr="009D5B59">
        <w:rPr>
          <w:rFonts w:cstheme="minorHAnsi"/>
          <w:sz w:val="24"/>
          <w:szCs w:val="24"/>
        </w:rPr>
        <w:t xml:space="preserve"> pilot due to different provider contracts with NHSE. </w:t>
      </w:r>
      <w:r w:rsidR="00256483" w:rsidRPr="009D5B59">
        <w:rPr>
          <w:rFonts w:cstheme="minorHAnsi"/>
          <w:sz w:val="24"/>
          <w:szCs w:val="24"/>
        </w:rPr>
        <w:t>For example, t</w:t>
      </w:r>
      <w:r w:rsidR="009E1D0C" w:rsidRPr="009D5B59">
        <w:rPr>
          <w:rFonts w:cstheme="minorHAnsi"/>
          <w:sz w:val="24"/>
          <w:szCs w:val="24"/>
        </w:rPr>
        <w:t>he Priory</w:t>
      </w:r>
      <w:r w:rsidR="007B31E7" w:rsidRPr="009D5B59">
        <w:rPr>
          <w:rFonts w:cstheme="minorHAnsi"/>
          <w:sz w:val="24"/>
          <w:szCs w:val="24"/>
        </w:rPr>
        <w:t xml:space="preserve"> </w:t>
      </w:r>
      <w:r w:rsidR="00636418" w:rsidRPr="009D5B59">
        <w:rPr>
          <w:rFonts w:cstheme="minorHAnsi"/>
          <w:sz w:val="24"/>
          <w:szCs w:val="24"/>
        </w:rPr>
        <w:t>ha</w:t>
      </w:r>
      <w:r w:rsidR="003A402A" w:rsidRPr="009D5B59">
        <w:rPr>
          <w:rFonts w:cstheme="minorHAnsi"/>
          <w:sz w:val="24"/>
          <w:szCs w:val="24"/>
        </w:rPr>
        <w:t>d</w:t>
      </w:r>
      <w:r w:rsidR="00636418" w:rsidRPr="009D5B59">
        <w:rPr>
          <w:rFonts w:cstheme="minorHAnsi"/>
          <w:sz w:val="24"/>
          <w:szCs w:val="24"/>
        </w:rPr>
        <w:t xml:space="preserve"> a national contr</w:t>
      </w:r>
      <w:r w:rsidR="007B31E7" w:rsidRPr="009D5B59">
        <w:rPr>
          <w:rFonts w:cstheme="minorHAnsi"/>
          <w:sz w:val="24"/>
          <w:szCs w:val="24"/>
        </w:rPr>
        <w:t>act</w:t>
      </w:r>
      <w:r w:rsidR="00B830F7" w:rsidRPr="009D5B59">
        <w:rPr>
          <w:rFonts w:cstheme="minorHAnsi"/>
          <w:sz w:val="24"/>
          <w:szCs w:val="24"/>
        </w:rPr>
        <w:t xml:space="preserve"> with NHSE, meaning that beds were not ring-fenced </w:t>
      </w:r>
      <w:r w:rsidR="00D134AD" w:rsidRPr="009D5B59">
        <w:rPr>
          <w:rFonts w:cstheme="minorHAnsi"/>
          <w:sz w:val="24"/>
          <w:szCs w:val="24"/>
        </w:rPr>
        <w:t>for the HOPE PC</w:t>
      </w:r>
      <w:r w:rsidR="00CD71A5" w:rsidRPr="009D5B59">
        <w:rPr>
          <w:rFonts w:cstheme="minorHAnsi"/>
          <w:sz w:val="24"/>
          <w:szCs w:val="24"/>
        </w:rPr>
        <w:t xml:space="preserve">, with competing </w:t>
      </w:r>
      <w:r w:rsidR="00B857BB" w:rsidRPr="009D5B59">
        <w:rPr>
          <w:rFonts w:cstheme="minorHAnsi"/>
          <w:sz w:val="24"/>
          <w:szCs w:val="24"/>
        </w:rPr>
        <w:t xml:space="preserve">HOPE </w:t>
      </w:r>
      <w:r w:rsidR="00B20703" w:rsidRPr="009D5B59">
        <w:rPr>
          <w:rFonts w:cstheme="minorHAnsi"/>
          <w:sz w:val="24"/>
          <w:szCs w:val="24"/>
        </w:rPr>
        <w:t>network</w:t>
      </w:r>
      <w:r w:rsidR="000E0397" w:rsidRPr="009D5B59">
        <w:rPr>
          <w:rFonts w:cstheme="minorHAnsi"/>
          <w:sz w:val="24"/>
          <w:szCs w:val="24"/>
        </w:rPr>
        <w:t xml:space="preserve"> and national </w:t>
      </w:r>
      <w:r w:rsidR="00E94215">
        <w:rPr>
          <w:rFonts w:cstheme="minorHAnsi"/>
          <w:sz w:val="24"/>
          <w:szCs w:val="24"/>
        </w:rPr>
        <w:t xml:space="preserve">demands and </w:t>
      </w:r>
      <w:r w:rsidR="00CD71A5" w:rsidRPr="009D5B59">
        <w:rPr>
          <w:rFonts w:cstheme="minorHAnsi"/>
          <w:sz w:val="24"/>
          <w:szCs w:val="24"/>
        </w:rPr>
        <w:t xml:space="preserve">waiting lists for </w:t>
      </w:r>
      <w:r w:rsidR="00E63796">
        <w:rPr>
          <w:rFonts w:cstheme="minorHAnsi"/>
          <w:sz w:val="24"/>
          <w:szCs w:val="24"/>
        </w:rPr>
        <w:t xml:space="preserve">their </w:t>
      </w:r>
      <w:r w:rsidR="00CD71A5" w:rsidRPr="009D5B59">
        <w:rPr>
          <w:rFonts w:cstheme="minorHAnsi"/>
          <w:sz w:val="24"/>
          <w:szCs w:val="24"/>
        </w:rPr>
        <w:t xml:space="preserve">independent beds. </w:t>
      </w:r>
    </w:p>
    <w:p w14:paraId="475156C9" w14:textId="52372831" w:rsidR="009D352A" w:rsidRPr="009D5B59" w:rsidRDefault="00BB3F64" w:rsidP="009D5B59">
      <w:pPr>
        <w:spacing w:line="480" w:lineRule="auto"/>
        <w:rPr>
          <w:rFonts w:cstheme="minorHAnsi"/>
          <w:sz w:val="24"/>
          <w:szCs w:val="24"/>
        </w:rPr>
      </w:pPr>
      <w:r w:rsidRPr="009D5B59">
        <w:rPr>
          <w:rFonts w:cstheme="minorHAnsi"/>
          <w:sz w:val="24"/>
          <w:szCs w:val="24"/>
        </w:rPr>
        <w:t>Because t</w:t>
      </w:r>
      <w:r w:rsidR="0080683D" w:rsidRPr="009D5B59">
        <w:rPr>
          <w:rFonts w:cstheme="minorHAnsi"/>
          <w:sz w:val="24"/>
          <w:szCs w:val="24"/>
        </w:rPr>
        <w:t>he d</w:t>
      </w:r>
      <w:r w:rsidR="009D352A" w:rsidRPr="009D5B59">
        <w:rPr>
          <w:rFonts w:cstheme="minorHAnsi"/>
          <w:sz w:val="24"/>
          <w:szCs w:val="24"/>
        </w:rPr>
        <w:t>emand for in</w:t>
      </w:r>
      <w:r w:rsidR="001914EA" w:rsidRPr="009D5B59">
        <w:rPr>
          <w:rFonts w:cstheme="minorHAnsi"/>
          <w:sz w:val="24"/>
          <w:szCs w:val="24"/>
        </w:rPr>
        <w:t xml:space="preserve">patient </w:t>
      </w:r>
      <w:r w:rsidR="009D352A" w:rsidRPr="009D5B59">
        <w:rPr>
          <w:rFonts w:cstheme="minorHAnsi"/>
          <w:sz w:val="24"/>
          <w:szCs w:val="24"/>
        </w:rPr>
        <w:t>beds consistently outweighed capacity</w:t>
      </w:r>
      <w:r w:rsidRPr="009D5B59">
        <w:rPr>
          <w:rFonts w:cstheme="minorHAnsi"/>
          <w:sz w:val="24"/>
          <w:szCs w:val="24"/>
        </w:rPr>
        <w:t>, the</w:t>
      </w:r>
      <w:r w:rsidR="0080683D" w:rsidRPr="009D5B59">
        <w:rPr>
          <w:rFonts w:cstheme="minorHAnsi"/>
          <w:sz w:val="24"/>
          <w:szCs w:val="24"/>
        </w:rPr>
        <w:t xml:space="preserve"> historically under-resourced community ED services had to manage very </w:t>
      </w:r>
      <w:r w:rsidR="009707D2" w:rsidRPr="009D5B59">
        <w:rPr>
          <w:rFonts w:cstheme="minorHAnsi"/>
          <w:sz w:val="24"/>
          <w:szCs w:val="24"/>
        </w:rPr>
        <w:t>high-risk</w:t>
      </w:r>
      <w:r w:rsidR="0080683D" w:rsidRPr="009D5B59">
        <w:rPr>
          <w:rFonts w:cstheme="minorHAnsi"/>
          <w:sz w:val="24"/>
          <w:szCs w:val="24"/>
        </w:rPr>
        <w:t xml:space="preserve"> </w:t>
      </w:r>
      <w:r w:rsidR="00072D5C" w:rsidRPr="009D5B59">
        <w:rPr>
          <w:rFonts w:cstheme="minorHAnsi"/>
          <w:sz w:val="24"/>
          <w:szCs w:val="24"/>
        </w:rPr>
        <w:t>client</w:t>
      </w:r>
      <w:r w:rsidR="0080683D" w:rsidRPr="009D5B59">
        <w:rPr>
          <w:rFonts w:cstheme="minorHAnsi"/>
          <w:sz w:val="24"/>
          <w:szCs w:val="24"/>
        </w:rPr>
        <w:t xml:space="preserve">s while waiting for beds. </w:t>
      </w:r>
      <w:r w:rsidR="00AF43CC" w:rsidRPr="009D5B59">
        <w:rPr>
          <w:rFonts w:cstheme="minorHAnsi"/>
          <w:sz w:val="24"/>
          <w:szCs w:val="24"/>
        </w:rPr>
        <w:t xml:space="preserve">Apart from the </w:t>
      </w:r>
      <w:r w:rsidR="00B92662" w:rsidRPr="009D5B59">
        <w:rPr>
          <w:rFonts w:cstheme="minorHAnsi"/>
          <w:sz w:val="24"/>
          <w:szCs w:val="24"/>
        </w:rPr>
        <w:t xml:space="preserve">life-threatening </w:t>
      </w:r>
      <w:r w:rsidR="008775DA" w:rsidRPr="009D5B59">
        <w:rPr>
          <w:rFonts w:cstheme="minorHAnsi"/>
          <w:sz w:val="24"/>
          <w:szCs w:val="24"/>
        </w:rPr>
        <w:t>risk</w:t>
      </w:r>
      <w:r w:rsidR="00B92662" w:rsidRPr="009D5B59">
        <w:rPr>
          <w:rFonts w:cstheme="minorHAnsi"/>
          <w:sz w:val="24"/>
          <w:szCs w:val="24"/>
        </w:rPr>
        <w:t>s and</w:t>
      </w:r>
      <w:r w:rsidR="008775DA" w:rsidRPr="009D5B59">
        <w:rPr>
          <w:rFonts w:cstheme="minorHAnsi"/>
          <w:sz w:val="24"/>
          <w:szCs w:val="24"/>
        </w:rPr>
        <w:t xml:space="preserve"> </w:t>
      </w:r>
      <w:r w:rsidR="00AF43CC" w:rsidRPr="009D5B59">
        <w:rPr>
          <w:rFonts w:cstheme="minorHAnsi"/>
          <w:sz w:val="24"/>
          <w:szCs w:val="24"/>
        </w:rPr>
        <w:t xml:space="preserve">impact on </w:t>
      </w:r>
      <w:r w:rsidR="00072D5C" w:rsidRPr="009D5B59">
        <w:rPr>
          <w:rFonts w:cstheme="minorHAnsi"/>
          <w:sz w:val="24"/>
          <w:szCs w:val="24"/>
        </w:rPr>
        <w:t>client</w:t>
      </w:r>
      <w:r w:rsidR="006E37EA" w:rsidRPr="009D5B59">
        <w:rPr>
          <w:rFonts w:cstheme="minorHAnsi"/>
          <w:sz w:val="24"/>
          <w:szCs w:val="24"/>
        </w:rPr>
        <w:t xml:space="preserve">s and their </w:t>
      </w:r>
      <w:r w:rsidR="00AF43CC" w:rsidRPr="009D5B59">
        <w:rPr>
          <w:rFonts w:cstheme="minorHAnsi"/>
          <w:sz w:val="24"/>
          <w:szCs w:val="24"/>
        </w:rPr>
        <w:t>families</w:t>
      </w:r>
      <w:r w:rsidR="006E37EA" w:rsidRPr="009D5B59">
        <w:rPr>
          <w:rFonts w:cstheme="minorHAnsi"/>
          <w:sz w:val="24"/>
          <w:szCs w:val="24"/>
        </w:rPr>
        <w:t>/</w:t>
      </w:r>
      <w:r w:rsidR="00AF43CC" w:rsidRPr="009D5B59">
        <w:rPr>
          <w:rFonts w:cstheme="minorHAnsi"/>
          <w:sz w:val="24"/>
          <w:szCs w:val="24"/>
        </w:rPr>
        <w:t>carers,</w:t>
      </w:r>
      <w:r w:rsidR="006E37EA" w:rsidRPr="009D5B59">
        <w:rPr>
          <w:rFonts w:cstheme="minorHAnsi"/>
          <w:sz w:val="24"/>
          <w:szCs w:val="24"/>
        </w:rPr>
        <w:t xml:space="preserve"> the</w:t>
      </w:r>
      <w:r w:rsidR="00AF43CC" w:rsidRPr="009D5B59">
        <w:rPr>
          <w:rFonts w:cstheme="minorHAnsi"/>
          <w:sz w:val="24"/>
          <w:szCs w:val="24"/>
        </w:rPr>
        <w:t xml:space="preserve"> </w:t>
      </w:r>
      <w:r w:rsidR="006E37EA" w:rsidRPr="009D5B59">
        <w:rPr>
          <w:rFonts w:cstheme="minorHAnsi"/>
          <w:sz w:val="24"/>
          <w:szCs w:val="24"/>
        </w:rPr>
        <w:t xml:space="preserve">demand and capacity problems placed </w:t>
      </w:r>
      <w:r w:rsidR="00983E71" w:rsidRPr="009D5B59">
        <w:rPr>
          <w:rFonts w:cstheme="minorHAnsi"/>
          <w:sz w:val="24"/>
          <w:szCs w:val="24"/>
        </w:rPr>
        <w:t xml:space="preserve">significant </w:t>
      </w:r>
      <w:r w:rsidR="00AF43CC" w:rsidRPr="009D5B59">
        <w:rPr>
          <w:rFonts w:cstheme="minorHAnsi"/>
          <w:sz w:val="24"/>
          <w:szCs w:val="24"/>
        </w:rPr>
        <w:t>pressure</w:t>
      </w:r>
      <w:r w:rsidR="00983E71" w:rsidRPr="009D5B59">
        <w:rPr>
          <w:rFonts w:cstheme="minorHAnsi"/>
          <w:sz w:val="24"/>
          <w:szCs w:val="24"/>
        </w:rPr>
        <w:t>s</w:t>
      </w:r>
      <w:r w:rsidR="00AF43CC" w:rsidRPr="009D5B59">
        <w:rPr>
          <w:rFonts w:cstheme="minorHAnsi"/>
          <w:sz w:val="24"/>
          <w:szCs w:val="24"/>
        </w:rPr>
        <w:t xml:space="preserve"> on primary care (e.g.</w:t>
      </w:r>
      <w:r w:rsidR="00246E49" w:rsidRPr="009D5B59">
        <w:rPr>
          <w:rFonts w:cstheme="minorHAnsi"/>
          <w:sz w:val="24"/>
          <w:szCs w:val="24"/>
        </w:rPr>
        <w:t>,</w:t>
      </w:r>
      <w:r w:rsidR="00AF43CC" w:rsidRPr="009D5B59">
        <w:rPr>
          <w:rFonts w:cstheme="minorHAnsi"/>
          <w:sz w:val="24"/>
          <w:szCs w:val="24"/>
        </w:rPr>
        <w:t xml:space="preserve"> increased </w:t>
      </w:r>
      <w:r w:rsidR="00C818BC">
        <w:rPr>
          <w:rFonts w:cstheme="minorHAnsi"/>
          <w:sz w:val="24"/>
          <w:szCs w:val="24"/>
        </w:rPr>
        <w:t xml:space="preserve">visits to </w:t>
      </w:r>
      <w:r w:rsidR="00AF43CC" w:rsidRPr="009D5B59">
        <w:rPr>
          <w:rFonts w:cstheme="minorHAnsi"/>
          <w:sz w:val="24"/>
          <w:szCs w:val="24"/>
        </w:rPr>
        <w:t>GP</w:t>
      </w:r>
      <w:r w:rsidR="00C818BC">
        <w:rPr>
          <w:rFonts w:cstheme="minorHAnsi"/>
          <w:sz w:val="24"/>
          <w:szCs w:val="24"/>
        </w:rPr>
        <w:t>s</w:t>
      </w:r>
      <w:r w:rsidR="005711D4">
        <w:rPr>
          <w:rFonts w:cstheme="minorHAnsi"/>
          <w:sz w:val="24"/>
          <w:szCs w:val="24"/>
        </w:rPr>
        <w:t xml:space="preserve">, </w:t>
      </w:r>
      <w:r w:rsidR="00AF43CC" w:rsidRPr="009D5B59">
        <w:rPr>
          <w:rFonts w:cstheme="minorHAnsi"/>
          <w:sz w:val="24"/>
          <w:szCs w:val="24"/>
        </w:rPr>
        <w:t xml:space="preserve">A&amp;E </w:t>
      </w:r>
      <w:r w:rsidR="006C3A6F">
        <w:rPr>
          <w:rFonts w:cstheme="minorHAnsi"/>
          <w:sz w:val="24"/>
          <w:szCs w:val="24"/>
        </w:rPr>
        <w:t xml:space="preserve">and </w:t>
      </w:r>
      <w:r w:rsidR="00AF43CC" w:rsidRPr="009D5B59">
        <w:rPr>
          <w:rFonts w:cstheme="minorHAnsi"/>
          <w:sz w:val="24"/>
          <w:szCs w:val="24"/>
        </w:rPr>
        <w:t>acute hospital</w:t>
      </w:r>
      <w:r w:rsidR="006C3A6F">
        <w:rPr>
          <w:rFonts w:cstheme="minorHAnsi"/>
          <w:sz w:val="24"/>
          <w:szCs w:val="24"/>
        </w:rPr>
        <w:t xml:space="preserve"> admission</w:t>
      </w:r>
      <w:r w:rsidR="00AF43CC" w:rsidRPr="009D5B59">
        <w:rPr>
          <w:rFonts w:cstheme="minorHAnsi"/>
          <w:sz w:val="24"/>
          <w:szCs w:val="24"/>
        </w:rPr>
        <w:t xml:space="preserve">s) </w:t>
      </w:r>
      <w:r w:rsidR="006E37EA" w:rsidRPr="009D5B59">
        <w:rPr>
          <w:rFonts w:cstheme="minorHAnsi"/>
          <w:sz w:val="24"/>
          <w:szCs w:val="24"/>
        </w:rPr>
        <w:t xml:space="preserve">and also </w:t>
      </w:r>
      <w:r w:rsidR="00AC78E7" w:rsidRPr="009D5B59">
        <w:rPr>
          <w:rFonts w:cstheme="minorHAnsi"/>
          <w:sz w:val="24"/>
          <w:szCs w:val="24"/>
        </w:rPr>
        <w:t>i</w:t>
      </w:r>
      <w:r w:rsidR="00AF43CC" w:rsidRPr="009D5B59">
        <w:rPr>
          <w:rFonts w:cstheme="minorHAnsi"/>
          <w:sz w:val="24"/>
          <w:szCs w:val="24"/>
        </w:rPr>
        <w:t>mpact</w:t>
      </w:r>
      <w:r w:rsidR="00AC78E7" w:rsidRPr="009D5B59">
        <w:rPr>
          <w:rFonts w:cstheme="minorHAnsi"/>
          <w:sz w:val="24"/>
          <w:szCs w:val="24"/>
        </w:rPr>
        <w:t>ed</w:t>
      </w:r>
      <w:r w:rsidR="00AF43CC" w:rsidRPr="009D5B59">
        <w:rPr>
          <w:rFonts w:cstheme="minorHAnsi"/>
          <w:sz w:val="24"/>
          <w:szCs w:val="24"/>
        </w:rPr>
        <w:t xml:space="preserve"> on morale, retention and risk of burnout</w:t>
      </w:r>
      <w:r w:rsidR="00504669" w:rsidRPr="009D5B59">
        <w:rPr>
          <w:rFonts w:cstheme="minorHAnsi"/>
          <w:sz w:val="24"/>
          <w:szCs w:val="24"/>
        </w:rPr>
        <w:t xml:space="preserve"> in </w:t>
      </w:r>
      <w:r w:rsidR="006E37EA" w:rsidRPr="009D5B59">
        <w:rPr>
          <w:rFonts w:cstheme="minorHAnsi"/>
          <w:sz w:val="24"/>
          <w:szCs w:val="24"/>
        </w:rPr>
        <w:t xml:space="preserve">staff working in </w:t>
      </w:r>
      <w:r w:rsidR="00504669" w:rsidRPr="009D5B59">
        <w:rPr>
          <w:rFonts w:cstheme="minorHAnsi"/>
          <w:sz w:val="24"/>
          <w:szCs w:val="24"/>
        </w:rPr>
        <w:t xml:space="preserve">community </w:t>
      </w:r>
      <w:r w:rsidR="00345E81">
        <w:rPr>
          <w:rFonts w:cstheme="minorHAnsi"/>
          <w:sz w:val="24"/>
          <w:szCs w:val="24"/>
        </w:rPr>
        <w:t>ED</w:t>
      </w:r>
      <w:r w:rsidR="00504669" w:rsidRPr="009D5B59">
        <w:rPr>
          <w:rFonts w:cstheme="minorHAnsi"/>
          <w:sz w:val="24"/>
          <w:szCs w:val="24"/>
        </w:rPr>
        <w:t xml:space="preserve"> services. </w:t>
      </w:r>
    </w:p>
    <w:p w14:paraId="75E1CD7A" w14:textId="52F379ED" w:rsidR="00345E81" w:rsidRDefault="00345E81" w:rsidP="00345E81">
      <w:pPr>
        <w:spacing w:line="480" w:lineRule="auto"/>
        <w:rPr>
          <w:rFonts w:cstheme="minorHAnsi"/>
          <w:sz w:val="24"/>
          <w:szCs w:val="24"/>
        </w:rPr>
      </w:pPr>
      <w:r>
        <w:rPr>
          <w:rFonts w:cstheme="minorHAnsi"/>
          <w:sz w:val="24"/>
          <w:szCs w:val="24"/>
        </w:rPr>
        <w:t>T</w:t>
      </w:r>
      <w:r w:rsidR="009707D2" w:rsidRPr="00BF02A2">
        <w:rPr>
          <w:rFonts w:cstheme="minorHAnsi"/>
          <w:sz w:val="24"/>
          <w:szCs w:val="24"/>
          <w:lang w:val="en-US"/>
        </w:rPr>
        <w:t>here were c</w:t>
      </w:r>
      <w:r w:rsidR="009D352A" w:rsidRPr="00BF02A2">
        <w:rPr>
          <w:rFonts w:cstheme="minorHAnsi"/>
          <w:sz w:val="24"/>
          <w:szCs w:val="24"/>
          <w:lang w:val="en-US"/>
        </w:rPr>
        <w:t xml:space="preserve">ommissioning challenges for complex </w:t>
      </w:r>
      <w:r w:rsidR="00072D5C" w:rsidRPr="00BF02A2">
        <w:rPr>
          <w:rFonts w:cstheme="minorHAnsi"/>
          <w:sz w:val="24"/>
          <w:szCs w:val="24"/>
          <w:lang w:val="en-US"/>
        </w:rPr>
        <w:t>client</w:t>
      </w:r>
      <w:r w:rsidR="009D352A" w:rsidRPr="00BF02A2">
        <w:rPr>
          <w:rFonts w:cstheme="minorHAnsi"/>
          <w:sz w:val="24"/>
          <w:szCs w:val="24"/>
          <w:lang w:val="en-US"/>
        </w:rPr>
        <w:t>s with co-morbidity</w:t>
      </w:r>
      <w:r w:rsidR="009707D2" w:rsidRPr="00BF02A2">
        <w:rPr>
          <w:rFonts w:cstheme="minorHAnsi"/>
          <w:sz w:val="24"/>
          <w:szCs w:val="24"/>
          <w:lang w:val="en-US"/>
        </w:rPr>
        <w:t xml:space="preserve"> </w:t>
      </w:r>
      <w:r w:rsidR="004B63B5" w:rsidRPr="00BF02A2">
        <w:rPr>
          <w:rFonts w:cstheme="minorHAnsi"/>
          <w:sz w:val="24"/>
          <w:szCs w:val="24"/>
          <w:lang w:val="en-US"/>
        </w:rPr>
        <w:t>(e.g.</w:t>
      </w:r>
      <w:r w:rsidR="00246E49">
        <w:rPr>
          <w:rFonts w:cstheme="minorHAnsi"/>
          <w:sz w:val="24"/>
          <w:szCs w:val="24"/>
          <w:lang w:val="en-US"/>
        </w:rPr>
        <w:t>,</w:t>
      </w:r>
      <w:r w:rsidR="004B63B5" w:rsidRPr="00BF02A2">
        <w:rPr>
          <w:rFonts w:cstheme="minorHAnsi"/>
          <w:sz w:val="24"/>
          <w:szCs w:val="24"/>
          <w:lang w:val="en-US"/>
        </w:rPr>
        <w:t xml:space="preserve"> </w:t>
      </w:r>
      <w:r w:rsidR="00E7547E">
        <w:rPr>
          <w:rFonts w:cstheme="minorHAnsi"/>
          <w:sz w:val="24"/>
          <w:szCs w:val="24"/>
          <w:lang w:val="en-US"/>
        </w:rPr>
        <w:t xml:space="preserve">people </w:t>
      </w:r>
      <w:r w:rsidR="003E4A6E">
        <w:rPr>
          <w:rFonts w:cstheme="minorHAnsi"/>
          <w:sz w:val="24"/>
          <w:szCs w:val="24"/>
          <w:lang w:val="en-US"/>
        </w:rPr>
        <w:t xml:space="preserve">who have a </w:t>
      </w:r>
      <w:r w:rsidR="003A673F">
        <w:rPr>
          <w:rFonts w:cstheme="minorHAnsi"/>
          <w:sz w:val="24"/>
          <w:szCs w:val="24"/>
          <w:lang w:val="en-US"/>
        </w:rPr>
        <w:t xml:space="preserve">diagnosis of </w:t>
      </w:r>
      <w:r w:rsidR="004B63B5" w:rsidRPr="00BF02A2">
        <w:rPr>
          <w:rFonts w:cstheme="minorHAnsi"/>
          <w:sz w:val="24"/>
          <w:szCs w:val="24"/>
          <w:lang w:val="en-US"/>
        </w:rPr>
        <w:t xml:space="preserve">autism spectrum disorders </w:t>
      </w:r>
      <w:r w:rsidR="003A673F">
        <w:rPr>
          <w:rFonts w:cstheme="minorHAnsi"/>
          <w:sz w:val="24"/>
          <w:szCs w:val="24"/>
          <w:lang w:val="en-US"/>
        </w:rPr>
        <w:t xml:space="preserve">or </w:t>
      </w:r>
      <w:r w:rsidR="00C10407">
        <w:rPr>
          <w:rFonts w:cstheme="minorHAnsi"/>
          <w:sz w:val="24"/>
          <w:szCs w:val="24"/>
          <w:lang w:val="en-US"/>
        </w:rPr>
        <w:t xml:space="preserve">extreme </w:t>
      </w:r>
      <w:r w:rsidR="004B63B5" w:rsidRPr="00BF02A2">
        <w:rPr>
          <w:rFonts w:cstheme="minorHAnsi"/>
          <w:sz w:val="24"/>
          <w:szCs w:val="24"/>
          <w:lang w:val="en-US"/>
        </w:rPr>
        <w:t xml:space="preserve">personality disorders) </w:t>
      </w:r>
      <w:r w:rsidR="009707D2" w:rsidRPr="00BF02A2">
        <w:rPr>
          <w:rFonts w:cstheme="minorHAnsi"/>
          <w:sz w:val="24"/>
          <w:szCs w:val="24"/>
          <w:lang w:val="en-US"/>
        </w:rPr>
        <w:t>for whom it was difficult to find suitable beds.</w:t>
      </w:r>
      <w:r w:rsidR="0006608B">
        <w:rPr>
          <w:rFonts w:cstheme="minorHAnsi"/>
          <w:sz w:val="24"/>
          <w:szCs w:val="24"/>
          <w:lang w:val="en-US"/>
        </w:rPr>
        <w:t xml:space="preserve"> There is a</w:t>
      </w:r>
      <w:r w:rsidR="00B15262" w:rsidRPr="00BF02A2">
        <w:rPr>
          <w:rFonts w:cstheme="minorHAnsi"/>
          <w:sz w:val="24"/>
          <w:szCs w:val="24"/>
          <w:lang w:val="en-US"/>
        </w:rPr>
        <w:t xml:space="preserve"> national lack of striated beds</w:t>
      </w:r>
      <w:r w:rsidR="004B63B5" w:rsidRPr="00BF02A2">
        <w:rPr>
          <w:rFonts w:cstheme="minorHAnsi"/>
          <w:sz w:val="24"/>
          <w:szCs w:val="24"/>
          <w:lang w:val="en-US"/>
        </w:rPr>
        <w:t xml:space="preserve"> </w:t>
      </w:r>
      <w:r w:rsidR="0006608B">
        <w:rPr>
          <w:rFonts w:cstheme="minorHAnsi"/>
          <w:sz w:val="24"/>
          <w:szCs w:val="24"/>
          <w:lang w:val="en-US"/>
        </w:rPr>
        <w:t xml:space="preserve">for </w:t>
      </w:r>
      <w:r>
        <w:rPr>
          <w:rFonts w:cstheme="minorHAnsi"/>
          <w:sz w:val="24"/>
          <w:szCs w:val="24"/>
          <w:lang w:val="en-US"/>
        </w:rPr>
        <w:t>ED</w:t>
      </w:r>
      <w:r w:rsidR="0006608B">
        <w:rPr>
          <w:rFonts w:cstheme="minorHAnsi"/>
          <w:sz w:val="24"/>
          <w:szCs w:val="24"/>
          <w:lang w:val="en-US"/>
        </w:rPr>
        <w:t xml:space="preserve"> </w:t>
      </w:r>
      <w:r w:rsidR="0041560E">
        <w:rPr>
          <w:rFonts w:cstheme="minorHAnsi"/>
          <w:sz w:val="24"/>
          <w:szCs w:val="24"/>
          <w:lang w:val="en-US"/>
        </w:rPr>
        <w:t xml:space="preserve">(Ayton </w:t>
      </w:r>
      <w:r w:rsidR="0041560E">
        <w:rPr>
          <w:rFonts w:cstheme="minorHAnsi"/>
          <w:i/>
          <w:iCs/>
          <w:sz w:val="24"/>
          <w:szCs w:val="24"/>
          <w:lang w:val="en-US"/>
        </w:rPr>
        <w:t xml:space="preserve">et </w:t>
      </w:r>
      <w:r w:rsidR="0041560E" w:rsidRPr="0041560E">
        <w:rPr>
          <w:rFonts w:cstheme="minorHAnsi"/>
          <w:sz w:val="24"/>
          <w:szCs w:val="24"/>
          <w:lang w:val="en-US"/>
        </w:rPr>
        <w:t>al</w:t>
      </w:r>
      <w:r w:rsidR="0041560E">
        <w:rPr>
          <w:rFonts w:cstheme="minorHAnsi"/>
          <w:sz w:val="24"/>
          <w:szCs w:val="24"/>
          <w:lang w:val="en-US"/>
        </w:rPr>
        <w:t xml:space="preserve">. 2021) </w:t>
      </w:r>
      <w:r w:rsidR="0006608B" w:rsidRPr="0041560E">
        <w:rPr>
          <w:rFonts w:cstheme="minorHAnsi"/>
          <w:sz w:val="24"/>
          <w:szCs w:val="24"/>
          <w:lang w:val="en-US"/>
        </w:rPr>
        <w:t>and</w:t>
      </w:r>
      <w:r w:rsidR="0006608B">
        <w:rPr>
          <w:rFonts w:cstheme="minorHAnsi"/>
          <w:sz w:val="24"/>
          <w:szCs w:val="24"/>
          <w:lang w:val="en-US"/>
        </w:rPr>
        <w:t xml:space="preserve"> this </w:t>
      </w:r>
      <w:r w:rsidR="004B63B5" w:rsidRPr="00BF02A2">
        <w:rPr>
          <w:rFonts w:cstheme="minorHAnsi"/>
          <w:sz w:val="24"/>
          <w:szCs w:val="24"/>
          <w:lang w:val="en-US"/>
        </w:rPr>
        <w:t>meant that</w:t>
      </w:r>
      <w:r w:rsidR="00B15262" w:rsidRPr="00BF02A2">
        <w:rPr>
          <w:rFonts w:cstheme="minorHAnsi"/>
          <w:sz w:val="24"/>
          <w:szCs w:val="24"/>
          <w:lang w:val="en-US"/>
        </w:rPr>
        <w:t xml:space="preserve"> </w:t>
      </w:r>
      <w:r w:rsidR="00072D5C" w:rsidRPr="00BF02A2">
        <w:rPr>
          <w:rFonts w:cstheme="minorHAnsi"/>
          <w:sz w:val="24"/>
          <w:szCs w:val="24"/>
          <w:lang w:val="en-US"/>
        </w:rPr>
        <w:t>client</w:t>
      </w:r>
      <w:r w:rsidR="004B63B5" w:rsidRPr="00BF02A2">
        <w:rPr>
          <w:rFonts w:cstheme="minorHAnsi"/>
          <w:sz w:val="24"/>
          <w:szCs w:val="24"/>
          <w:lang w:val="en-US"/>
        </w:rPr>
        <w:t>s</w:t>
      </w:r>
      <w:r w:rsidR="00B15262" w:rsidRPr="00BF02A2">
        <w:rPr>
          <w:rFonts w:cstheme="minorHAnsi"/>
          <w:sz w:val="24"/>
          <w:szCs w:val="24"/>
          <w:lang w:val="en-US"/>
        </w:rPr>
        <w:t xml:space="preserve"> with</w:t>
      </w:r>
      <w:r w:rsidR="004B63B5" w:rsidRPr="00BF02A2">
        <w:rPr>
          <w:rFonts w:cstheme="minorHAnsi"/>
          <w:sz w:val="24"/>
          <w:szCs w:val="24"/>
          <w:lang w:val="en-US"/>
        </w:rPr>
        <w:t xml:space="preserve"> </w:t>
      </w:r>
      <w:r>
        <w:rPr>
          <w:rFonts w:cstheme="minorHAnsi"/>
          <w:sz w:val="24"/>
          <w:szCs w:val="24"/>
          <w:lang w:val="en-US"/>
        </w:rPr>
        <w:t>ED</w:t>
      </w:r>
      <w:r w:rsidR="004B63B5" w:rsidRPr="00BF02A2">
        <w:rPr>
          <w:rFonts w:cstheme="minorHAnsi"/>
          <w:sz w:val="24"/>
          <w:szCs w:val="24"/>
          <w:lang w:val="en-US"/>
        </w:rPr>
        <w:t xml:space="preserve"> and high levels of behavioral di</w:t>
      </w:r>
      <w:r w:rsidR="003F74ED">
        <w:rPr>
          <w:rFonts w:cstheme="minorHAnsi"/>
          <w:sz w:val="24"/>
          <w:szCs w:val="24"/>
          <w:lang w:val="en-US"/>
        </w:rPr>
        <w:t>fficulties</w:t>
      </w:r>
      <w:r w:rsidR="004B63B5" w:rsidRPr="00BF02A2">
        <w:rPr>
          <w:rFonts w:cstheme="minorHAnsi"/>
          <w:sz w:val="24"/>
          <w:szCs w:val="24"/>
          <w:lang w:val="en-US"/>
        </w:rPr>
        <w:t xml:space="preserve"> had </w:t>
      </w:r>
      <w:r w:rsidR="00B15262" w:rsidRPr="00BF02A2">
        <w:rPr>
          <w:rFonts w:cstheme="minorHAnsi"/>
          <w:sz w:val="24"/>
          <w:szCs w:val="24"/>
          <w:lang w:val="en-US"/>
        </w:rPr>
        <w:t>longer waiting times</w:t>
      </w:r>
      <w:r w:rsidR="004B63B5" w:rsidRPr="00BF02A2">
        <w:rPr>
          <w:rFonts w:cstheme="minorHAnsi"/>
          <w:sz w:val="24"/>
          <w:szCs w:val="24"/>
          <w:lang w:val="en-US"/>
        </w:rPr>
        <w:t xml:space="preserve">. </w:t>
      </w:r>
      <w:r>
        <w:rPr>
          <w:rFonts w:cstheme="minorHAnsi"/>
          <w:sz w:val="24"/>
          <w:szCs w:val="24"/>
          <w:lang w:val="en-US"/>
        </w:rPr>
        <w:t>Additionally, t</w:t>
      </w:r>
      <w:r w:rsidRPr="00CA4D9B">
        <w:rPr>
          <w:rFonts w:cstheme="minorHAnsi"/>
          <w:sz w:val="24"/>
          <w:szCs w:val="24"/>
        </w:rPr>
        <w:t xml:space="preserve">here was a latent client demand within the system including clients within the acute sector (e.g., gastro-intestinal wards) and adult mental health units which is often ignored in demand and capacity calculations. </w:t>
      </w:r>
    </w:p>
    <w:p w14:paraId="5359113C" w14:textId="22E80D07" w:rsidR="00933292" w:rsidRPr="002A4217" w:rsidRDefault="007C1C0F" w:rsidP="002A4217">
      <w:pPr>
        <w:spacing w:line="480" w:lineRule="auto"/>
        <w:rPr>
          <w:rFonts w:cstheme="minorHAnsi"/>
          <w:sz w:val="24"/>
          <w:szCs w:val="24"/>
        </w:rPr>
      </w:pPr>
      <w:r w:rsidRPr="002A4217">
        <w:rPr>
          <w:rFonts w:cstheme="minorHAnsi"/>
          <w:sz w:val="24"/>
          <w:szCs w:val="24"/>
          <w:lang w:val="en-US"/>
        </w:rPr>
        <w:t xml:space="preserve">Geographical </w:t>
      </w:r>
      <w:r w:rsidR="00CC5850" w:rsidRPr="002A4217">
        <w:rPr>
          <w:rFonts w:cstheme="minorHAnsi"/>
          <w:sz w:val="24"/>
          <w:szCs w:val="24"/>
          <w:lang w:val="en-US"/>
        </w:rPr>
        <w:t xml:space="preserve">inequity of access and a </w:t>
      </w:r>
      <w:r w:rsidR="00163D99" w:rsidRPr="002A4217">
        <w:rPr>
          <w:rFonts w:cstheme="minorHAnsi"/>
          <w:sz w:val="24"/>
          <w:szCs w:val="24"/>
          <w:lang w:val="en-US"/>
        </w:rPr>
        <w:t>‘</w:t>
      </w:r>
      <w:r w:rsidR="00CC5850" w:rsidRPr="002A4217">
        <w:rPr>
          <w:rFonts w:cstheme="minorHAnsi"/>
          <w:sz w:val="24"/>
          <w:szCs w:val="24"/>
          <w:lang w:val="en-US"/>
        </w:rPr>
        <w:t>postcode lottery’</w:t>
      </w:r>
      <w:r w:rsidR="00163D99" w:rsidRPr="002A4217">
        <w:rPr>
          <w:rFonts w:cstheme="minorHAnsi"/>
          <w:sz w:val="24"/>
          <w:szCs w:val="24"/>
          <w:lang w:val="en-US"/>
        </w:rPr>
        <w:t xml:space="preserve"> of services is a concern for PC</w:t>
      </w:r>
      <w:r w:rsidR="0083404C" w:rsidRPr="002A4217">
        <w:rPr>
          <w:rFonts w:cstheme="minorHAnsi"/>
          <w:sz w:val="24"/>
          <w:szCs w:val="24"/>
          <w:lang w:val="en-US"/>
        </w:rPr>
        <w:t>s</w:t>
      </w:r>
      <w:r w:rsidR="00163D99" w:rsidRPr="002A4217">
        <w:rPr>
          <w:rFonts w:cstheme="minorHAnsi"/>
          <w:sz w:val="24"/>
          <w:szCs w:val="24"/>
          <w:lang w:val="en-US"/>
        </w:rPr>
        <w:t xml:space="preserve"> (N</w:t>
      </w:r>
      <w:r w:rsidR="00E12D5B" w:rsidRPr="002A4217">
        <w:rPr>
          <w:rFonts w:cstheme="minorHAnsi"/>
          <w:sz w:val="24"/>
          <w:szCs w:val="24"/>
          <w:lang w:val="en-US"/>
        </w:rPr>
        <w:t>iche</w:t>
      </w:r>
      <w:r w:rsidR="0066711B" w:rsidRPr="002A4217">
        <w:rPr>
          <w:rFonts w:cstheme="minorHAnsi"/>
          <w:sz w:val="24"/>
          <w:szCs w:val="24"/>
          <w:lang w:val="en-US"/>
        </w:rPr>
        <w:t>,</w:t>
      </w:r>
      <w:r w:rsidR="00163D99" w:rsidRPr="002A4217">
        <w:rPr>
          <w:rFonts w:cstheme="minorHAnsi"/>
          <w:sz w:val="24"/>
          <w:szCs w:val="24"/>
          <w:lang w:val="en-US"/>
        </w:rPr>
        <w:t xml:space="preserve"> 2018). </w:t>
      </w:r>
      <w:r w:rsidR="004B63B5" w:rsidRPr="002A4217">
        <w:rPr>
          <w:rFonts w:cstheme="minorHAnsi"/>
          <w:sz w:val="24"/>
          <w:szCs w:val="24"/>
          <w:lang w:val="en-US"/>
        </w:rPr>
        <w:t>Across the 7 NHS and independent providers there were noticeable v</w:t>
      </w:r>
      <w:r w:rsidR="009D352A" w:rsidRPr="002A4217">
        <w:rPr>
          <w:rFonts w:cstheme="minorHAnsi"/>
          <w:sz w:val="24"/>
          <w:szCs w:val="24"/>
          <w:lang w:val="en-US"/>
        </w:rPr>
        <w:t>ariation</w:t>
      </w:r>
      <w:r w:rsidR="004B63B5" w:rsidRPr="002A4217">
        <w:rPr>
          <w:rFonts w:cstheme="minorHAnsi"/>
          <w:sz w:val="24"/>
          <w:szCs w:val="24"/>
          <w:lang w:val="en-US"/>
        </w:rPr>
        <w:t>s</w:t>
      </w:r>
      <w:r w:rsidR="009D352A" w:rsidRPr="002A4217">
        <w:rPr>
          <w:rFonts w:cstheme="minorHAnsi"/>
          <w:sz w:val="24"/>
          <w:szCs w:val="24"/>
          <w:lang w:val="en-US"/>
        </w:rPr>
        <w:t xml:space="preserve"> in </w:t>
      </w:r>
      <w:r w:rsidR="004B63B5" w:rsidRPr="002A4217">
        <w:rPr>
          <w:rFonts w:cstheme="minorHAnsi"/>
          <w:sz w:val="24"/>
          <w:szCs w:val="24"/>
          <w:lang w:val="en-US"/>
        </w:rPr>
        <w:t xml:space="preserve">levels of </w:t>
      </w:r>
      <w:r w:rsidR="009D352A" w:rsidRPr="002A4217">
        <w:rPr>
          <w:rFonts w:cstheme="minorHAnsi"/>
          <w:sz w:val="24"/>
          <w:szCs w:val="24"/>
          <w:lang w:val="en-US"/>
        </w:rPr>
        <w:t>funding</w:t>
      </w:r>
      <w:r w:rsidR="004B63B5" w:rsidRPr="002A4217">
        <w:rPr>
          <w:rFonts w:cstheme="minorHAnsi"/>
          <w:sz w:val="24"/>
          <w:szCs w:val="24"/>
          <w:lang w:val="en-US"/>
        </w:rPr>
        <w:t xml:space="preserve"> and </w:t>
      </w:r>
      <w:r w:rsidR="00395D32" w:rsidRPr="002A4217">
        <w:rPr>
          <w:rFonts w:cstheme="minorHAnsi"/>
          <w:sz w:val="24"/>
          <w:szCs w:val="24"/>
          <w:lang w:val="en-US"/>
        </w:rPr>
        <w:t xml:space="preserve">access </w:t>
      </w:r>
      <w:r w:rsidR="00C614A3" w:rsidRPr="002A4217">
        <w:rPr>
          <w:rFonts w:cstheme="minorHAnsi"/>
          <w:sz w:val="24"/>
          <w:szCs w:val="24"/>
          <w:lang w:val="en-US"/>
        </w:rPr>
        <w:t xml:space="preserve">to community, day and inpatient </w:t>
      </w:r>
      <w:r w:rsidR="009D352A" w:rsidRPr="002A4217">
        <w:rPr>
          <w:rFonts w:cstheme="minorHAnsi"/>
          <w:sz w:val="24"/>
          <w:szCs w:val="24"/>
          <w:lang w:val="en-US"/>
        </w:rPr>
        <w:t xml:space="preserve">services </w:t>
      </w:r>
      <w:r w:rsidR="006F2ADD" w:rsidRPr="002A4217">
        <w:rPr>
          <w:rFonts w:cstheme="minorHAnsi"/>
          <w:sz w:val="24"/>
          <w:szCs w:val="24"/>
          <w:lang w:val="en-US"/>
        </w:rPr>
        <w:t xml:space="preserve">which </w:t>
      </w:r>
      <w:r w:rsidR="00B15262" w:rsidRPr="002A4217">
        <w:rPr>
          <w:rFonts w:cstheme="minorHAnsi"/>
          <w:sz w:val="24"/>
          <w:szCs w:val="24"/>
          <w:lang w:val="en-US"/>
        </w:rPr>
        <w:t>impacted on</w:t>
      </w:r>
      <w:r w:rsidR="009D352A" w:rsidRPr="002A4217">
        <w:rPr>
          <w:rFonts w:cstheme="minorHAnsi"/>
          <w:sz w:val="24"/>
          <w:szCs w:val="24"/>
          <w:lang w:val="en-US"/>
        </w:rPr>
        <w:t xml:space="preserve"> </w:t>
      </w:r>
      <w:r w:rsidR="002D562A" w:rsidRPr="002A4217">
        <w:rPr>
          <w:rFonts w:cstheme="minorHAnsi"/>
          <w:sz w:val="24"/>
          <w:szCs w:val="24"/>
          <w:lang w:val="en-US"/>
        </w:rPr>
        <w:t>flow through the care</w:t>
      </w:r>
      <w:r w:rsidR="009D352A" w:rsidRPr="002A4217">
        <w:rPr>
          <w:rFonts w:cstheme="minorHAnsi"/>
          <w:sz w:val="24"/>
          <w:szCs w:val="24"/>
          <w:lang w:val="en-US"/>
        </w:rPr>
        <w:t xml:space="preserve"> pathway</w:t>
      </w:r>
      <w:r w:rsidR="004B63B5" w:rsidRPr="002A4217">
        <w:rPr>
          <w:rFonts w:cstheme="minorHAnsi"/>
          <w:sz w:val="24"/>
          <w:szCs w:val="24"/>
          <w:lang w:val="en-US"/>
        </w:rPr>
        <w:t xml:space="preserve">. </w:t>
      </w:r>
      <w:r w:rsidR="00504669" w:rsidRPr="002A4217">
        <w:rPr>
          <w:rFonts w:cstheme="minorHAnsi"/>
          <w:sz w:val="24"/>
          <w:szCs w:val="24"/>
          <w:lang w:val="en-US"/>
        </w:rPr>
        <w:t>Variations between community services (e.g.</w:t>
      </w:r>
      <w:r w:rsidR="009839DD" w:rsidRPr="002A4217">
        <w:rPr>
          <w:rFonts w:cstheme="minorHAnsi"/>
          <w:sz w:val="24"/>
          <w:szCs w:val="24"/>
          <w:lang w:val="en-US"/>
        </w:rPr>
        <w:t>,</w:t>
      </w:r>
      <w:r w:rsidR="00504669" w:rsidRPr="002A4217">
        <w:rPr>
          <w:rFonts w:cstheme="minorHAnsi"/>
          <w:sz w:val="24"/>
          <w:szCs w:val="24"/>
          <w:lang w:val="en-US"/>
        </w:rPr>
        <w:t xml:space="preserve"> in staffing compositions, level of engagement of care coordinators with </w:t>
      </w:r>
      <w:r w:rsidR="008E2C7E" w:rsidRPr="002A4217">
        <w:rPr>
          <w:rFonts w:cstheme="minorHAnsi"/>
          <w:sz w:val="24"/>
          <w:szCs w:val="24"/>
          <w:lang w:val="en-US"/>
        </w:rPr>
        <w:t>inpatient</w:t>
      </w:r>
      <w:r w:rsidR="00504669" w:rsidRPr="002A4217">
        <w:rPr>
          <w:rFonts w:cstheme="minorHAnsi"/>
          <w:sz w:val="24"/>
          <w:szCs w:val="24"/>
          <w:lang w:val="en-US"/>
        </w:rPr>
        <w:t xml:space="preserve"> providers, ability to offer seamless/ongoing psychological therapy) affected outcomes</w:t>
      </w:r>
      <w:r w:rsidR="00EF46BE" w:rsidRPr="002A4217">
        <w:rPr>
          <w:rFonts w:cstheme="minorHAnsi"/>
          <w:sz w:val="24"/>
          <w:szCs w:val="24"/>
          <w:lang w:val="en-US"/>
        </w:rPr>
        <w:t xml:space="preserve">, length of admissions, </w:t>
      </w:r>
      <w:r w:rsidR="00504669" w:rsidRPr="002A4217">
        <w:rPr>
          <w:rFonts w:cstheme="minorHAnsi"/>
          <w:sz w:val="24"/>
          <w:szCs w:val="24"/>
          <w:lang w:val="en-US"/>
        </w:rPr>
        <w:t xml:space="preserve">and </w:t>
      </w:r>
      <w:r w:rsidR="00072D5C" w:rsidRPr="002A4217">
        <w:rPr>
          <w:rFonts w:cstheme="minorHAnsi"/>
          <w:sz w:val="24"/>
          <w:szCs w:val="24"/>
          <w:lang w:val="en-US"/>
        </w:rPr>
        <w:t>client</w:t>
      </w:r>
      <w:r w:rsidR="00504669" w:rsidRPr="002A4217">
        <w:rPr>
          <w:rFonts w:cstheme="minorHAnsi"/>
          <w:sz w:val="24"/>
          <w:szCs w:val="24"/>
          <w:lang w:val="en-US"/>
        </w:rPr>
        <w:t xml:space="preserve"> and clinician experiences. </w:t>
      </w:r>
      <w:r w:rsidR="00B86117" w:rsidRPr="002A4217">
        <w:rPr>
          <w:rFonts w:cstheme="minorHAnsi"/>
          <w:sz w:val="24"/>
          <w:szCs w:val="24"/>
          <w:lang w:val="en-US"/>
        </w:rPr>
        <w:t xml:space="preserve">Similarly, whereas only 6% of </w:t>
      </w:r>
      <w:r w:rsidR="008B1B54">
        <w:rPr>
          <w:rFonts w:cstheme="minorHAnsi"/>
          <w:sz w:val="24"/>
          <w:szCs w:val="24"/>
          <w:lang w:val="en-US"/>
        </w:rPr>
        <w:t>client</w:t>
      </w:r>
      <w:r w:rsidR="00B86117" w:rsidRPr="002A4217">
        <w:rPr>
          <w:rFonts w:cstheme="minorHAnsi"/>
          <w:sz w:val="24"/>
          <w:szCs w:val="24"/>
          <w:lang w:val="en-US"/>
        </w:rPr>
        <w:t xml:space="preserve">s were placed </w:t>
      </w:r>
      <w:r w:rsidR="00A91A26" w:rsidRPr="002A4217">
        <w:rPr>
          <w:rFonts w:cstheme="minorHAnsi"/>
          <w:sz w:val="24"/>
          <w:szCs w:val="24"/>
          <w:lang w:val="en-US"/>
        </w:rPr>
        <w:t xml:space="preserve">in beds outside the </w:t>
      </w:r>
      <w:r w:rsidR="00575FB0" w:rsidRPr="002A4217">
        <w:rPr>
          <w:rFonts w:cstheme="minorHAnsi"/>
          <w:sz w:val="24"/>
          <w:szCs w:val="24"/>
          <w:lang w:val="en-US"/>
        </w:rPr>
        <w:t xml:space="preserve">initial </w:t>
      </w:r>
      <w:r w:rsidR="00A91A26" w:rsidRPr="002A4217">
        <w:rPr>
          <w:rFonts w:cstheme="minorHAnsi"/>
          <w:sz w:val="24"/>
          <w:szCs w:val="24"/>
          <w:lang w:val="en-US"/>
        </w:rPr>
        <w:t>HOPE footprint, th</w:t>
      </w:r>
      <w:r w:rsidR="00575FB0" w:rsidRPr="002A4217">
        <w:rPr>
          <w:rFonts w:cstheme="minorHAnsi"/>
          <w:sz w:val="24"/>
          <w:szCs w:val="24"/>
          <w:lang w:val="en-US"/>
        </w:rPr>
        <w:t>e out</w:t>
      </w:r>
      <w:r w:rsidR="0041560E" w:rsidRPr="002A4217">
        <w:rPr>
          <w:rFonts w:cstheme="minorHAnsi"/>
          <w:sz w:val="24"/>
          <w:szCs w:val="24"/>
          <w:lang w:val="en-US"/>
        </w:rPr>
        <w:t>-</w:t>
      </w:r>
      <w:r w:rsidR="00575FB0" w:rsidRPr="002A4217">
        <w:rPr>
          <w:rFonts w:cstheme="minorHAnsi"/>
          <w:sz w:val="24"/>
          <w:szCs w:val="24"/>
          <w:lang w:val="en-US"/>
        </w:rPr>
        <w:t>of</w:t>
      </w:r>
      <w:r w:rsidR="0041560E" w:rsidRPr="002A4217">
        <w:rPr>
          <w:rFonts w:cstheme="minorHAnsi"/>
          <w:sz w:val="24"/>
          <w:szCs w:val="24"/>
          <w:lang w:val="en-US"/>
        </w:rPr>
        <w:t>-</w:t>
      </w:r>
      <w:r w:rsidR="00575FB0" w:rsidRPr="002A4217">
        <w:rPr>
          <w:rFonts w:cstheme="minorHAnsi"/>
          <w:sz w:val="24"/>
          <w:szCs w:val="24"/>
          <w:lang w:val="en-US"/>
        </w:rPr>
        <w:t>area placements</w:t>
      </w:r>
      <w:r w:rsidR="00A91A26" w:rsidRPr="002A4217">
        <w:rPr>
          <w:rFonts w:cstheme="minorHAnsi"/>
          <w:sz w:val="24"/>
          <w:szCs w:val="24"/>
          <w:lang w:val="en-US"/>
        </w:rPr>
        <w:t xml:space="preserve"> increased </w:t>
      </w:r>
      <w:r w:rsidR="00001F3A" w:rsidRPr="002A4217">
        <w:rPr>
          <w:rFonts w:cstheme="minorHAnsi"/>
          <w:sz w:val="24"/>
          <w:szCs w:val="24"/>
          <w:lang w:val="en-US"/>
        </w:rPr>
        <w:t>to</w:t>
      </w:r>
      <w:r w:rsidR="00A91A26" w:rsidRPr="002A4217">
        <w:rPr>
          <w:rFonts w:cstheme="minorHAnsi"/>
          <w:sz w:val="24"/>
          <w:szCs w:val="24"/>
          <w:lang w:val="en-US"/>
        </w:rPr>
        <w:t xml:space="preserve"> a third in the </w:t>
      </w:r>
      <w:r w:rsidR="007E168D" w:rsidRPr="002A4217">
        <w:rPr>
          <w:rFonts w:cstheme="minorHAnsi"/>
          <w:sz w:val="24"/>
          <w:szCs w:val="24"/>
          <w:lang w:val="en-US"/>
        </w:rPr>
        <w:t>smaller HOPE PC</w:t>
      </w:r>
      <w:r w:rsidR="00C00400" w:rsidRPr="002A4217">
        <w:rPr>
          <w:rFonts w:cstheme="minorHAnsi"/>
          <w:sz w:val="24"/>
          <w:szCs w:val="24"/>
          <w:lang w:val="en-US"/>
        </w:rPr>
        <w:t xml:space="preserve"> after September 2019</w:t>
      </w:r>
      <w:r w:rsidR="007E168D" w:rsidRPr="002A4217">
        <w:rPr>
          <w:rFonts w:cstheme="minorHAnsi"/>
          <w:sz w:val="24"/>
          <w:szCs w:val="24"/>
          <w:lang w:val="en-US"/>
        </w:rPr>
        <w:t xml:space="preserve">. This was in part because </w:t>
      </w:r>
      <w:r w:rsidR="0051674B" w:rsidRPr="002A4217">
        <w:rPr>
          <w:rFonts w:cstheme="minorHAnsi"/>
          <w:sz w:val="24"/>
          <w:szCs w:val="24"/>
          <w:lang w:val="en-US"/>
        </w:rPr>
        <w:t xml:space="preserve">the </w:t>
      </w:r>
      <w:r w:rsidR="00A0478D" w:rsidRPr="002A4217">
        <w:rPr>
          <w:rFonts w:cstheme="minorHAnsi"/>
          <w:sz w:val="24"/>
          <w:szCs w:val="24"/>
          <w:lang w:val="en-US"/>
        </w:rPr>
        <w:t xml:space="preserve">smaller </w:t>
      </w:r>
      <w:r w:rsidR="002D7590">
        <w:rPr>
          <w:rFonts w:cstheme="minorHAnsi"/>
          <w:sz w:val="24"/>
          <w:szCs w:val="24"/>
          <w:lang w:val="en-US"/>
        </w:rPr>
        <w:t>PC</w:t>
      </w:r>
      <w:r w:rsidR="00A0478D" w:rsidRPr="002A4217">
        <w:rPr>
          <w:rFonts w:cstheme="minorHAnsi"/>
          <w:sz w:val="24"/>
          <w:szCs w:val="24"/>
          <w:lang w:val="en-US"/>
        </w:rPr>
        <w:t xml:space="preserve"> </w:t>
      </w:r>
      <w:r w:rsidR="008D1832" w:rsidRPr="002A4217">
        <w:rPr>
          <w:rFonts w:cstheme="minorHAnsi"/>
          <w:sz w:val="24"/>
          <w:szCs w:val="24"/>
          <w:lang w:val="en-US"/>
        </w:rPr>
        <w:t xml:space="preserve">reduced 33% in population size but </w:t>
      </w:r>
      <w:r w:rsidR="007F2FE5" w:rsidRPr="002A4217">
        <w:rPr>
          <w:rFonts w:cstheme="minorHAnsi"/>
          <w:sz w:val="24"/>
          <w:szCs w:val="24"/>
          <w:lang w:val="en-US"/>
        </w:rPr>
        <w:t>lost</w:t>
      </w:r>
      <w:r w:rsidR="008D624F" w:rsidRPr="002A4217">
        <w:rPr>
          <w:rFonts w:cstheme="minorHAnsi"/>
          <w:sz w:val="24"/>
          <w:szCs w:val="24"/>
          <w:lang w:val="en-US"/>
        </w:rPr>
        <w:t xml:space="preserve"> 50%</w:t>
      </w:r>
      <w:r w:rsidR="000F6080" w:rsidRPr="002A4217">
        <w:rPr>
          <w:rFonts w:cstheme="minorHAnsi"/>
          <w:sz w:val="24"/>
          <w:szCs w:val="24"/>
          <w:lang w:val="en-US"/>
        </w:rPr>
        <w:t xml:space="preserve"> bed capacity </w:t>
      </w:r>
      <w:r w:rsidR="00167A19" w:rsidRPr="002A4217">
        <w:rPr>
          <w:rFonts w:cstheme="minorHAnsi"/>
          <w:sz w:val="24"/>
          <w:szCs w:val="24"/>
          <w:lang w:val="en-US"/>
        </w:rPr>
        <w:t>(i.e.</w:t>
      </w:r>
      <w:r w:rsidR="00246E49" w:rsidRPr="002A4217">
        <w:rPr>
          <w:rFonts w:cstheme="minorHAnsi"/>
          <w:sz w:val="24"/>
          <w:szCs w:val="24"/>
          <w:lang w:val="en-US"/>
        </w:rPr>
        <w:t>,</w:t>
      </w:r>
      <w:r w:rsidR="00167A19" w:rsidRPr="002A4217">
        <w:rPr>
          <w:rFonts w:cstheme="minorHAnsi"/>
          <w:sz w:val="24"/>
          <w:szCs w:val="24"/>
          <w:lang w:val="en-US"/>
        </w:rPr>
        <w:t xml:space="preserve"> </w:t>
      </w:r>
      <w:r w:rsidR="00BC3935" w:rsidRPr="002A4217">
        <w:rPr>
          <w:rFonts w:cstheme="minorHAnsi"/>
          <w:sz w:val="24"/>
          <w:szCs w:val="24"/>
          <w:lang w:val="en-US"/>
        </w:rPr>
        <w:t>21</w:t>
      </w:r>
      <w:r w:rsidR="00431967" w:rsidRPr="002A4217">
        <w:rPr>
          <w:rFonts w:cstheme="minorHAnsi"/>
          <w:sz w:val="24"/>
          <w:szCs w:val="24"/>
          <w:lang w:val="en-US"/>
        </w:rPr>
        <w:t>/43</w:t>
      </w:r>
      <w:r w:rsidR="00BC3935" w:rsidRPr="002A4217">
        <w:rPr>
          <w:rFonts w:cstheme="minorHAnsi"/>
          <w:sz w:val="24"/>
          <w:szCs w:val="24"/>
          <w:lang w:val="en-US"/>
        </w:rPr>
        <w:t xml:space="preserve"> beds </w:t>
      </w:r>
      <w:r w:rsidR="008E1DC9" w:rsidRPr="002A4217">
        <w:rPr>
          <w:rFonts w:cstheme="minorHAnsi"/>
          <w:sz w:val="24"/>
          <w:szCs w:val="24"/>
          <w:lang w:val="en-US"/>
        </w:rPr>
        <w:t>when</w:t>
      </w:r>
      <w:r w:rsidR="00BC3935" w:rsidRPr="002A4217">
        <w:rPr>
          <w:rFonts w:cstheme="minorHAnsi"/>
          <w:sz w:val="24"/>
          <w:szCs w:val="24"/>
          <w:lang w:val="en-US"/>
        </w:rPr>
        <w:t xml:space="preserve"> </w:t>
      </w:r>
      <w:r w:rsidR="00167A19" w:rsidRPr="002A4217">
        <w:rPr>
          <w:rFonts w:cstheme="minorHAnsi"/>
          <w:sz w:val="24"/>
          <w:szCs w:val="24"/>
          <w:lang w:val="en-US"/>
        </w:rPr>
        <w:t xml:space="preserve">an independent and NHS inpatient partner </w:t>
      </w:r>
      <w:r w:rsidR="00A46053" w:rsidRPr="002A4217">
        <w:rPr>
          <w:rFonts w:cstheme="minorHAnsi"/>
          <w:sz w:val="24"/>
          <w:szCs w:val="24"/>
          <w:lang w:val="en-US"/>
        </w:rPr>
        <w:t>joined other PCs</w:t>
      </w:r>
      <w:r w:rsidR="00725ADD" w:rsidRPr="002A4217">
        <w:rPr>
          <w:rFonts w:cstheme="minorHAnsi"/>
          <w:sz w:val="24"/>
          <w:szCs w:val="24"/>
          <w:lang w:val="en-US"/>
        </w:rPr>
        <w:t>)</w:t>
      </w:r>
      <w:r w:rsidR="00167A19" w:rsidRPr="002A4217">
        <w:rPr>
          <w:rFonts w:cstheme="minorHAnsi"/>
          <w:sz w:val="24"/>
          <w:szCs w:val="24"/>
          <w:lang w:val="en-US"/>
        </w:rPr>
        <w:t xml:space="preserve"> </w:t>
      </w:r>
      <w:r w:rsidR="00D83433" w:rsidRPr="002A4217">
        <w:rPr>
          <w:rFonts w:cstheme="minorHAnsi"/>
          <w:sz w:val="24"/>
          <w:szCs w:val="24"/>
          <w:lang w:val="en-US"/>
        </w:rPr>
        <w:t xml:space="preserve">and due to </w:t>
      </w:r>
      <w:r w:rsidR="004E1C42" w:rsidRPr="002A4217">
        <w:rPr>
          <w:rFonts w:cstheme="minorHAnsi"/>
          <w:sz w:val="24"/>
          <w:szCs w:val="24"/>
          <w:lang w:val="en-US"/>
        </w:rPr>
        <w:t>a national</w:t>
      </w:r>
      <w:r w:rsidR="00DB5CE2" w:rsidRPr="002A4217">
        <w:rPr>
          <w:rFonts w:cstheme="minorHAnsi"/>
          <w:sz w:val="24"/>
          <w:szCs w:val="24"/>
          <w:lang w:val="en-US"/>
        </w:rPr>
        <w:t xml:space="preserve"> </w:t>
      </w:r>
      <w:r w:rsidR="00D83433" w:rsidRPr="002A4217">
        <w:rPr>
          <w:rFonts w:cstheme="minorHAnsi"/>
          <w:sz w:val="24"/>
          <w:szCs w:val="24"/>
          <w:lang w:val="en-US"/>
        </w:rPr>
        <w:t>increase in demand for beds</w:t>
      </w:r>
      <w:r w:rsidR="00ED207A" w:rsidRPr="002A4217">
        <w:rPr>
          <w:rFonts w:cstheme="minorHAnsi"/>
          <w:sz w:val="24"/>
          <w:szCs w:val="24"/>
          <w:lang w:val="en-US"/>
        </w:rPr>
        <w:t xml:space="preserve"> </w:t>
      </w:r>
      <w:r w:rsidR="004E1C42" w:rsidRPr="002A4217">
        <w:rPr>
          <w:rFonts w:cstheme="minorHAnsi"/>
          <w:sz w:val="24"/>
          <w:szCs w:val="24"/>
          <w:lang w:val="en-US"/>
        </w:rPr>
        <w:t>(NHS Digital, 20</w:t>
      </w:r>
      <w:r w:rsidR="00EE5F51">
        <w:rPr>
          <w:rFonts w:cstheme="minorHAnsi"/>
          <w:sz w:val="24"/>
          <w:szCs w:val="24"/>
          <w:lang w:val="en-US"/>
        </w:rPr>
        <w:t>21</w:t>
      </w:r>
      <w:r w:rsidR="004E1C42" w:rsidRPr="002A4217">
        <w:rPr>
          <w:rFonts w:cstheme="minorHAnsi"/>
          <w:sz w:val="24"/>
          <w:szCs w:val="24"/>
          <w:lang w:val="en-US"/>
        </w:rPr>
        <w:t xml:space="preserve">) </w:t>
      </w:r>
      <w:r w:rsidR="00ED207A" w:rsidRPr="002A4217">
        <w:rPr>
          <w:rFonts w:cstheme="minorHAnsi"/>
          <w:sz w:val="24"/>
          <w:szCs w:val="24"/>
          <w:lang w:val="en-US"/>
        </w:rPr>
        <w:t>and the pandemic</w:t>
      </w:r>
      <w:r w:rsidR="004E1C42" w:rsidRPr="002A4217">
        <w:rPr>
          <w:rFonts w:cstheme="minorHAnsi"/>
          <w:sz w:val="24"/>
          <w:szCs w:val="24"/>
          <w:lang w:val="en-US"/>
        </w:rPr>
        <w:t xml:space="preserve"> (Ayton </w:t>
      </w:r>
      <w:r w:rsidR="004E1C42" w:rsidRPr="002A4217">
        <w:rPr>
          <w:rFonts w:cstheme="minorHAnsi"/>
          <w:i/>
          <w:iCs/>
          <w:sz w:val="24"/>
          <w:szCs w:val="24"/>
          <w:lang w:val="en-US"/>
        </w:rPr>
        <w:t>et al</w:t>
      </w:r>
      <w:r w:rsidR="004E1C42" w:rsidRPr="002A4217">
        <w:rPr>
          <w:rFonts w:cstheme="minorHAnsi"/>
          <w:sz w:val="24"/>
          <w:szCs w:val="24"/>
          <w:lang w:val="en-US"/>
        </w:rPr>
        <w:t>., 2021)</w:t>
      </w:r>
      <w:r w:rsidR="00D83433" w:rsidRPr="002A4217">
        <w:rPr>
          <w:rFonts w:cstheme="minorHAnsi"/>
          <w:sz w:val="24"/>
          <w:szCs w:val="24"/>
          <w:lang w:val="en-US"/>
        </w:rPr>
        <w:t xml:space="preserve">. </w:t>
      </w:r>
    </w:p>
    <w:p w14:paraId="4B8AE32B" w14:textId="019C8C1F" w:rsidR="00933292" w:rsidRPr="00381EE5" w:rsidRDefault="00E5058E" w:rsidP="00381EE5">
      <w:pPr>
        <w:spacing w:line="480" w:lineRule="auto"/>
        <w:rPr>
          <w:rFonts w:cstheme="minorHAnsi"/>
          <w:sz w:val="24"/>
          <w:szCs w:val="24"/>
        </w:rPr>
      </w:pPr>
      <w:r w:rsidRPr="00381EE5">
        <w:rPr>
          <w:rFonts w:cstheme="minorHAnsi"/>
          <w:sz w:val="24"/>
          <w:szCs w:val="24"/>
        </w:rPr>
        <w:t>Although</w:t>
      </w:r>
      <w:r w:rsidR="00B15262" w:rsidRPr="00381EE5">
        <w:rPr>
          <w:rFonts w:cstheme="minorHAnsi"/>
          <w:sz w:val="24"/>
          <w:szCs w:val="24"/>
        </w:rPr>
        <w:t xml:space="preserve"> providers in the HOPE NCM agreed to use </w:t>
      </w:r>
      <w:r w:rsidRPr="00381EE5">
        <w:rPr>
          <w:rFonts w:cstheme="minorHAnsi"/>
          <w:sz w:val="24"/>
          <w:szCs w:val="24"/>
        </w:rPr>
        <w:t>the same outcome measures</w:t>
      </w:r>
      <w:r w:rsidR="003C1A47" w:rsidRPr="00381EE5">
        <w:rPr>
          <w:rFonts w:cstheme="minorHAnsi"/>
          <w:sz w:val="24"/>
          <w:szCs w:val="24"/>
        </w:rPr>
        <w:t>,</w:t>
      </w:r>
      <w:r w:rsidRPr="00381EE5">
        <w:rPr>
          <w:rFonts w:cstheme="minorHAnsi"/>
          <w:sz w:val="24"/>
          <w:szCs w:val="24"/>
        </w:rPr>
        <w:t xml:space="preserve"> data collection was sub-optimal mainly due to a lack of funded resources</w:t>
      </w:r>
      <w:r w:rsidR="00504669" w:rsidRPr="00381EE5">
        <w:rPr>
          <w:rFonts w:cstheme="minorHAnsi"/>
          <w:sz w:val="24"/>
          <w:szCs w:val="24"/>
        </w:rPr>
        <w:t xml:space="preserve"> </w:t>
      </w:r>
      <w:r w:rsidR="00BC359F" w:rsidRPr="00381EE5">
        <w:rPr>
          <w:rFonts w:cstheme="minorHAnsi"/>
          <w:sz w:val="24"/>
          <w:szCs w:val="24"/>
        </w:rPr>
        <w:t xml:space="preserve">and </w:t>
      </w:r>
      <w:r w:rsidR="00931A5F" w:rsidRPr="00381EE5">
        <w:rPr>
          <w:rFonts w:cstheme="minorHAnsi"/>
          <w:sz w:val="24"/>
          <w:szCs w:val="24"/>
        </w:rPr>
        <w:t>allocated s</w:t>
      </w:r>
      <w:r w:rsidR="00BC359F" w:rsidRPr="00381EE5">
        <w:rPr>
          <w:rFonts w:cstheme="minorHAnsi"/>
          <w:sz w:val="24"/>
          <w:szCs w:val="24"/>
        </w:rPr>
        <w:t xml:space="preserve">taff </w:t>
      </w:r>
      <w:r w:rsidR="00504669" w:rsidRPr="00381EE5">
        <w:rPr>
          <w:rFonts w:cstheme="minorHAnsi"/>
          <w:sz w:val="24"/>
          <w:szCs w:val="24"/>
        </w:rPr>
        <w:t xml:space="preserve">for data collection </w:t>
      </w:r>
      <w:r w:rsidR="00BC359F" w:rsidRPr="00381EE5">
        <w:rPr>
          <w:rFonts w:cstheme="minorHAnsi"/>
          <w:sz w:val="24"/>
          <w:szCs w:val="24"/>
        </w:rPr>
        <w:t>and ana</w:t>
      </w:r>
      <w:r w:rsidR="003D0D08" w:rsidRPr="00381EE5">
        <w:rPr>
          <w:rFonts w:cstheme="minorHAnsi"/>
          <w:sz w:val="24"/>
          <w:szCs w:val="24"/>
        </w:rPr>
        <w:t xml:space="preserve">lysis </w:t>
      </w:r>
      <w:r w:rsidR="00504669" w:rsidRPr="00381EE5">
        <w:rPr>
          <w:rFonts w:cstheme="minorHAnsi"/>
          <w:sz w:val="24"/>
          <w:szCs w:val="24"/>
        </w:rPr>
        <w:t>within each provider</w:t>
      </w:r>
      <w:r w:rsidRPr="00381EE5">
        <w:rPr>
          <w:rFonts w:cstheme="minorHAnsi"/>
          <w:sz w:val="24"/>
          <w:szCs w:val="24"/>
        </w:rPr>
        <w:t xml:space="preserve">. </w:t>
      </w:r>
    </w:p>
    <w:p w14:paraId="68F6148A" w14:textId="33624576" w:rsidR="00504669" w:rsidRPr="00381EE5" w:rsidRDefault="00E5058E" w:rsidP="00381EE5">
      <w:pPr>
        <w:spacing w:line="480" w:lineRule="auto"/>
        <w:rPr>
          <w:rFonts w:cstheme="minorHAnsi"/>
          <w:sz w:val="24"/>
          <w:szCs w:val="24"/>
        </w:rPr>
      </w:pPr>
      <w:r w:rsidRPr="00381EE5">
        <w:rPr>
          <w:rFonts w:cstheme="minorHAnsi"/>
          <w:sz w:val="24"/>
          <w:szCs w:val="24"/>
        </w:rPr>
        <w:t xml:space="preserve">Despite the many challenges </w:t>
      </w:r>
      <w:r w:rsidR="00F85FFB">
        <w:rPr>
          <w:rFonts w:cstheme="minorHAnsi"/>
          <w:sz w:val="24"/>
          <w:szCs w:val="24"/>
        </w:rPr>
        <w:t xml:space="preserve">the PC had several benefits. </w:t>
      </w:r>
      <w:r w:rsidR="00D41975">
        <w:rPr>
          <w:rFonts w:cstheme="minorHAnsi"/>
          <w:sz w:val="24"/>
          <w:szCs w:val="24"/>
        </w:rPr>
        <w:t>C</w:t>
      </w:r>
      <w:r w:rsidR="009D352A" w:rsidRPr="00381EE5">
        <w:rPr>
          <w:rFonts w:cstheme="minorHAnsi"/>
          <w:sz w:val="24"/>
          <w:szCs w:val="24"/>
        </w:rPr>
        <w:t>ollaboration between clinicians</w:t>
      </w:r>
      <w:r w:rsidRPr="00381EE5">
        <w:rPr>
          <w:rFonts w:cstheme="minorHAnsi"/>
          <w:sz w:val="24"/>
          <w:szCs w:val="24"/>
        </w:rPr>
        <w:t xml:space="preserve"> and </w:t>
      </w:r>
      <w:r w:rsidR="009D352A" w:rsidRPr="00381EE5">
        <w:rPr>
          <w:rFonts w:cstheme="minorHAnsi"/>
          <w:sz w:val="24"/>
          <w:szCs w:val="24"/>
        </w:rPr>
        <w:t xml:space="preserve">providers improved with more active management of </w:t>
      </w:r>
      <w:r w:rsidRPr="00381EE5">
        <w:rPr>
          <w:rFonts w:cstheme="minorHAnsi"/>
          <w:sz w:val="24"/>
          <w:szCs w:val="24"/>
        </w:rPr>
        <w:t xml:space="preserve">the </w:t>
      </w:r>
      <w:r w:rsidR="006E37EA" w:rsidRPr="00381EE5">
        <w:rPr>
          <w:rFonts w:cstheme="minorHAnsi"/>
          <w:sz w:val="24"/>
          <w:szCs w:val="24"/>
        </w:rPr>
        <w:t xml:space="preserve">whole </w:t>
      </w:r>
      <w:r w:rsidR="009D352A" w:rsidRPr="00381EE5">
        <w:rPr>
          <w:rFonts w:cstheme="minorHAnsi"/>
          <w:sz w:val="24"/>
          <w:szCs w:val="24"/>
        </w:rPr>
        <w:t>care pathway</w:t>
      </w:r>
      <w:r w:rsidRPr="00381EE5">
        <w:rPr>
          <w:rFonts w:cstheme="minorHAnsi"/>
          <w:sz w:val="24"/>
          <w:szCs w:val="24"/>
        </w:rPr>
        <w:t xml:space="preserve">. </w:t>
      </w:r>
      <w:r w:rsidR="006E37EA" w:rsidRPr="00381EE5">
        <w:rPr>
          <w:rFonts w:cstheme="minorHAnsi"/>
          <w:sz w:val="24"/>
          <w:szCs w:val="24"/>
        </w:rPr>
        <w:t xml:space="preserve">Mutual trust and </w:t>
      </w:r>
      <w:r w:rsidR="008A25FE">
        <w:rPr>
          <w:rFonts w:cstheme="minorHAnsi"/>
          <w:sz w:val="24"/>
          <w:szCs w:val="24"/>
        </w:rPr>
        <w:t>relationships</w:t>
      </w:r>
      <w:r w:rsidR="006E37EA" w:rsidRPr="00381EE5">
        <w:rPr>
          <w:rFonts w:cstheme="minorHAnsi"/>
          <w:sz w:val="24"/>
          <w:szCs w:val="24"/>
        </w:rPr>
        <w:t xml:space="preserve"> </w:t>
      </w:r>
      <w:r w:rsidR="00D41975" w:rsidRPr="00381EE5">
        <w:rPr>
          <w:rFonts w:cstheme="minorHAnsi"/>
          <w:sz w:val="24"/>
          <w:szCs w:val="24"/>
        </w:rPr>
        <w:t>improved,</w:t>
      </w:r>
      <w:r w:rsidR="006E37EA" w:rsidRPr="00381EE5">
        <w:rPr>
          <w:rFonts w:cstheme="minorHAnsi"/>
          <w:sz w:val="24"/>
          <w:szCs w:val="24"/>
        </w:rPr>
        <w:t xml:space="preserve"> and o</w:t>
      </w:r>
      <w:r w:rsidRPr="00381EE5">
        <w:rPr>
          <w:rFonts w:cstheme="minorHAnsi"/>
          <w:sz w:val="24"/>
          <w:szCs w:val="24"/>
        </w:rPr>
        <w:t xml:space="preserve">pportunities arose </w:t>
      </w:r>
      <w:r w:rsidR="006E37EA" w:rsidRPr="00381EE5">
        <w:rPr>
          <w:rFonts w:cstheme="minorHAnsi"/>
          <w:sz w:val="24"/>
          <w:szCs w:val="24"/>
        </w:rPr>
        <w:t xml:space="preserve">for peer supervision and </w:t>
      </w:r>
      <w:r w:rsidRPr="00381EE5">
        <w:rPr>
          <w:rFonts w:cstheme="minorHAnsi"/>
          <w:sz w:val="24"/>
          <w:szCs w:val="24"/>
        </w:rPr>
        <w:t>to learn from each other’s best practices</w:t>
      </w:r>
      <w:r w:rsidR="006E37EA" w:rsidRPr="00381EE5">
        <w:rPr>
          <w:rFonts w:cstheme="minorHAnsi"/>
          <w:sz w:val="24"/>
          <w:szCs w:val="24"/>
        </w:rPr>
        <w:t xml:space="preserve">. </w:t>
      </w:r>
      <w:r w:rsidR="00495FB6" w:rsidRPr="00381EE5">
        <w:rPr>
          <w:rFonts w:cstheme="minorHAnsi"/>
          <w:sz w:val="24"/>
          <w:szCs w:val="24"/>
        </w:rPr>
        <w:t>This correspond</w:t>
      </w:r>
      <w:r w:rsidR="00AF11F1" w:rsidRPr="00381EE5">
        <w:rPr>
          <w:rFonts w:cstheme="minorHAnsi"/>
          <w:sz w:val="24"/>
          <w:szCs w:val="24"/>
        </w:rPr>
        <w:t>ed</w:t>
      </w:r>
      <w:r w:rsidR="00495FB6" w:rsidRPr="00381EE5">
        <w:rPr>
          <w:rFonts w:cstheme="minorHAnsi"/>
          <w:sz w:val="24"/>
          <w:szCs w:val="24"/>
        </w:rPr>
        <w:t xml:space="preserve"> with the findings of </w:t>
      </w:r>
      <w:r w:rsidR="00475B0D" w:rsidRPr="00381EE5">
        <w:rPr>
          <w:rFonts w:cstheme="minorHAnsi"/>
          <w:sz w:val="24"/>
          <w:szCs w:val="24"/>
        </w:rPr>
        <w:t>the independent evaluation of NCMs (</w:t>
      </w:r>
      <w:r w:rsidR="003E0DF1" w:rsidRPr="00381EE5">
        <w:rPr>
          <w:rFonts w:cstheme="minorHAnsi"/>
          <w:sz w:val="24"/>
          <w:szCs w:val="24"/>
        </w:rPr>
        <w:t>N</w:t>
      </w:r>
      <w:r w:rsidR="00863036" w:rsidRPr="00381EE5">
        <w:rPr>
          <w:rFonts w:cstheme="minorHAnsi"/>
          <w:sz w:val="24"/>
          <w:szCs w:val="24"/>
        </w:rPr>
        <w:t>iche,</w:t>
      </w:r>
      <w:r w:rsidR="00475B0D" w:rsidRPr="00381EE5">
        <w:rPr>
          <w:rFonts w:cstheme="minorHAnsi"/>
          <w:sz w:val="24"/>
          <w:szCs w:val="24"/>
        </w:rPr>
        <w:t xml:space="preserve"> </w:t>
      </w:r>
      <w:r w:rsidR="003E0DF1" w:rsidRPr="00381EE5">
        <w:rPr>
          <w:rFonts w:cstheme="minorHAnsi"/>
          <w:sz w:val="24"/>
          <w:szCs w:val="24"/>
        </w:rPr>
        <w:t xml:space="preserve">2019) </w:t>
      </w:r>
      <w:r w:rsidR="004317E2" w:rsidRPr="00381EE5">
        <w:rPr>
          <w:rFonts w:cstheme="minorHAnsi"/>
          <w:sz w:val="24"/>
          <w:szCs w:val="24"/>
        </w:rPr>
        <w:t>that NCM</w:t>
      </w:r>
      <w:r w:rsidR="00475B0D" w:rsidRPr="00381EE5">
        <w:rPr>
          <w:rFonts w:cstheme="minorHAnsi"/>
          <w:sz w:val="24"/>
          <w:szCs w:val="24"/>
        </w:rPr>
        <w:t>s</w:t>
      </w:r>
      <w:r w:rsidR="003E0DF1" w:rsidRPr="00381EE5">
        <w:rPr>
          <w:rFonts w:cstheme="minorHAnsi"/>
          <w:sz w:val="24"/>
          <w:szCs w:val="24"/>
        </w:rPr>
        <w:t xml:space="preserve"> generally </w:t>
      </w:r>
      <w:r w:rsidR="004317E2" w:rsidRPr="00381EE5">
        <w:rPr>
          <w:rFonts w:cstheme="minorHAnsi"/>
          <w:sz w:val="24"/>
          <w:szCs w:val="24"/>
        </w:rPr>
        <w:t xml:space="preserve">produced a </w:t>
      </w:r>
      <w:r w:rsidR="00691309" w:rsidRPr="00381EE5">
        <w:rPr>
          <w:rFonts w:cstheme="minorHAnsi"/>
          <w:sz w:val="24"/>
          <w:szCs w:val="24"/>
        </w:rPr>
        <w:t>greater sense of ownership</w:t>
      </w:r>
      <w:r w:rsidR="00475B0D" w:rsidRPr="00381EE5">
        <w:rPr>
          <w:rFonts w:cstheme="minorHAnsi"/>
          <w:sz w:val="24"/>
          <w:szCs w:val="24"/>
        </w:rPr>
        <w:t xml:space="preserve">, empowerment and </w:t>
      </w:r>
      <w:r w:rsidR="004317E2" w:rsidRPr="00381EE5">
        <w:rPr>
          <w:rFonts w:cstheme="minorHAnsi"/>
          <w:sz w:val="24"/>
          <w:szCs w:val="24"/>
        </w:rPr>
        <w:t xml:space="preserve">willingness in </w:t>
      </w:r>
      <w:r w:rsidR="003E0DF1" w:rsidRPr="00381EE5">
        <w:rPr>
          <w:rFonts w:cstheme="minorHAnsi"/>
          <w:sz w:val="24"/>
          <w:szCs w:val="24"/>
        </w:rPr>
        <w:t>o</w:t>
      </w:r>
      <w:r w:rsidR="004317E2" w:rsidRPr="00381EE5">
        <w:rPr>
          <w:rFonts w:cstheme="minorHAnsi"/>
          <w:sz w:val="24"/>
          <w:szCs w:val="24"/>
        </w:rPr>
        <w:t>rganisations to move</w:t>
      </w:r>
      <w:r w:rsidR="00DB580D" w:rsidRPr="00381EE5">
        <w:rPr>
          <w:rFonts w:cstheme="minorHAnsi"/>
          <w:sz w:val="24"/>
          <w:szCs w:val="24"/>
        </w:rPr>
        <w:t xml:space="preserve"> from being </w:t>
      </w:r>
      <w:r w:rsidR="003E0DF1" w:rsidRPr="00381EE5">
        <w:rPr>
          <w:rFonts w:cstheme="minorHAnsi"/>
          <w:sz w:val="24"/>
          <w:szCs w:val="24"/>
        </w:rPr>
        <w:t>competitors</w:t>
      </w:r>
      <w:r w:rsidR="00DB580D" w:rsidRPr="00381EE5">
        <w:rPr>
          <w:rFonts w:cstheme="minorHAnsi"/>
          <w:sz w:val="24"/>
          <w:szCs w:val="24"/>
        </w:rPr>
        <w:t xml:space="preserve"> to partners in service improvement. </w:t>
      </w:r>
    </w:p>
    <w:p w14:paraId="62250759" w14:textId="4568AD69" w:rsidR="005B61C7" w:rsidRPr="00381EE5" w:rsidRDefault="00504669" w:rsidP="00381EE5">
      <w:pPr>
        <w:spacing w:line="480" w:lineRule="auto"/>
        <w:rPr>
          <w:rFonts w:cstheme="minorHAnsi"/>
          <w:sz w:val="24"/>
          <w:szCs w:val="24"/>
        </w:rPr>
      </w:pPr>
      <w:r w:rsidRPr="00381EE5">
        <w:rPr>
          <w:rFonts w:cstheme="minorHAnsi"/>
          <w:sz w:val="24"/>
          <w:szCs w:val="24"/>
        </w:rPr>
        <w:t xml:space="preserve">Finally, it became clear that </w:t>
      </w:r>
      <w:r w:rsidR="001C5486" w:rsidRPr="00381EE5">
        <w:rPr>
          <w:rFonts w:cstheme="minorHAnsi"/>
          <w:sz w:val="24"/>
          <w:szCs w:val="24"/>
        </w:rPr>
        <w:t xml:space="preserve">significantly more investment is required in adult community </w:t>
      </w:r>
      <w:r w:rsidR="00345E81">
        <w:rPr>
          <w:rFonts w:cstheme="minorHAnsi"/>
          <w:sz w:val="24"/>
          <w:szCs w:val="24"/>
        </w:rPr>
        <w:t>ED</w:t>
      </w:r>
      <w:r w:rsidR="001C5486" w:rsidRPr="00381EE5">
        <w:rPr>
          <w:rFonts w:cstheme="minorHAnsi"/>
          <w:sz w:val="24"/>
          <w:szCs w:val="24"/>
        </w:rPr>
        <w:t xml:space="preserve"> services to meet the demand </w:t>
      </w:r>
      <w:r w:rsidR="00103E32" w:rsidRPr="00381EE5">
        <w:rPr>
          <w:rFonts w:cstheme="minorHAnsi"/>
          <w:sz w:val="24"/>
          <w:szCs w:val="24"/>
        </w:rPr>
        <w:t xml:space="preserve">for an increasing prevalence </w:t>
      </w:r>
      <w:r w:rsidR="000F282E" w:rsidRPr="00381EE5">
        <w:rPr>
          <w:rFonts w:cstheme="minorHAnsi"/>
          <w:sz w:val="24"/>
          <w:szCs w:val="24"/>
        </w:rPr>
        <w:t xml:space="preserve">in </w:t>
      </w:r>
      <w:r w:rsidR="00345E81">
        <w:rPr>
          <w:rFonts w:cstheme="minorHAnsi"/>
          <w:sz w:val="24"/>
          <w:szCs w:val="24"/>
        </w:rPr>
        <w:t>ED</w:t>
      </w:r>
      <w:r w:rsidR="000F282E" w:rsidRPr="00381EE5">
        <w:rPr>
          <w:rFonts w:cstheme="minorHAnsi"/>
          <w:sz w:val="24"/>
          <w:szCs w:val="24"/>
        </w:rPr>
        <w:t xml:space="preserve"> </w:t>
      </w:r>
      <w:r w:rsidR="001C565F" w:rsidRPr="00381EE5">
        <w:rPr>
          <w:rFonts w:cstheme="minorHAnsi"/>
          <w:sz w:val="24"/>
          <w:szCs w:val="24"/>
        </w:rPr>
        <w:t xml:space="preserve">across the life span </w:t>
      </w:r>
      <w:r w:rsidR="00592841" w:rsidRPr="00381EE5">
        <w:rPr>
          <w:rFonts w:cstheme="minorHAnsi"/>
          <w:sz w:val="24"/>
          <w:szCs w:val="24"/>
        </w:rPr>
        <w:t xml:space="preserve">(NHS Digital, </w:t>
      </w:r>
      <w:r w:rsidR="00551647" w:rsidRPr="00381EE5">
        <w:rPr>
          <w:rFonts w:cstheme="minorHAnsi"/>
          <w:sz w:val="24"/>
          <w:szCs w:val="24"/>
        </w:rPr>
        <w:t>2020</w:t>
      </w:r>
      <w:r w:rsidR="00592841" w:rsidRPr="00381EE5">
        <w:rPr>
          <w:rFonts w:cstheme="minorHAnsi"/>
          <w:sz w:val="24"/>
          <w:szCs w:val="24"/>
        </w:rPr>
        <w:t>)</w:t>
      </w:r>
      <w:r w:rsidR="00ED19BE" w:rsidRPr="00381EE5">
        <w:rPr>
          <w:rFonts w:cstheme="minorHAnsi"/>
          <w:sz w:val="24"/>
          <w:szCs w:val="24"/>
        </w:rPr>
        <w:t xml:space="preserve"> </w:t>
      </w:r>
      <w:r w:rsidR="001C5486" w:rsidRPr="00381EE5">
        <w:rPr>
          <w:rFonts w:cstheme="minorHAnsi"/>
          <w:sz w:val="24"/>
          <w:szCs w:val="24"/>
        </w:rPr>
        <w:t xml:space="preserve">and </w:t>
      </w:r>
      <w:r w:rsidR="001C565F" w:rsidRPr="00381EE5">
        <w:rPr>
          <w:rFonts w:cstheme="minorHAnsi"/>
          <w:sz w:val="24"/>
          <w:szCs w:val="24"/>
        </w:rPr>
        <w:t xml:space="preserve">to </w:t>
      </w:r>
      <w:r w:rsidR="001C5486" w:rsidRPr="00381EE5">
        <w:rPr>
          <w:rFonts w:cstheme="minorHAnsi"/>
          <w:sz w:val="24"/>
          <w:szCs w:val="24"/>
        </w:rPr>
        <w:t>reduce the need for inpatient beds</w:t>
      </w:r>
      <w:r w:rsidR="000D5EB6" w:rsidRPr="00381EE5">
        <w:rPr>
          <w:rFonts w:cstheme="minorHAnsi"/>
          <w:sz w:val="24"/>
          <w:szCs w:val="24"/>
        </w:rPr>
        <w:t xml:space="preserve"> (Ayton </w:t>
      </w:r>
      <w:r w:rsidR="000D5EB6" w:rsidRPr="00381EE5">
        <w:rPr>
          <w:rFonts w:cstheme="minorHAnsi"/>
          <w:i/>
          <w:iCs/>
          <w:sz w:val="24"/>
          <w:szCs w:val="24"/>
        </w:rPr>
        <w:t>et al.,</w:t>
      </w:r>
      <w:r w:rsidR="000D5EB6" w:rsidRPr="00381EE5">
        <w:rPr>
          <w:rFonts w:cstheme="minorHAnsi"/>
          <w:sz w:val="24"/>
          <w:szCs w:val="24"/>
        </w:rPr>
        <w:t xml:space="preserve"> 2021)</w:t>
      </w:r>
      <w:r w:rsidR="001C5486" w:rsidRPr="00381EE5">
        <w:rPr>
          <w:rFonts w:cstheme="minorHAnsi"/>
          <w:sz w:val="24"/>
          <w:szCs w:val="24"/>
        </w:rPr>
        <w:t>. Th</w:t>
      </w:r>
      <w:r w:rsidRPr="00381EE5">
        <w:rPr>
          <w:rFonts w:cstheme="minorHAnsi"/>
          <w:sz w:val="24"/>
          <w:szCs w:val="24"/>
        </w:rPr>
        <w:t xml:space="preserve">e future success of </w:t>
      </w:r>
      <w:r w:rsidR="006E37EA" w:rsidRPr="00381EE5">
        <w:rPr>
          <w:rFonts w:cstheme="minorHAnsi"/>
          <w:sz w:val="24"/>
          <w:szCs w:val="24"/>
        </w:rPr>
        <w:t>PCs</w:t>
      </w:r>
      <w:r w:rsidRPr="00381EE5">
        <w:rPr>
          <w:rFonts w:cstheme="minorHAnsi"/>
          <w:sz w:val="24"/>
          <w:szCs w:val="24"/>
        </w:rPr>
        <w:t xml:space="preserve"> will </w:t>
      </w:r>
      <w:r w:rsidR="001C5486" w:rsidRPr="00381EE5">
        <w:rPr>
          <w:rFonts w:cstheme="minorHAnsi"/>
          <w:sz w:val="24"/>
          <w:szCs w:val="24"/>
        </w:rPr>
        <w:t xml:space="preserve">also </w:t>
      </w:r>
      <w:r w:rsidRPr="00381EE5">
        <w:rPr>
          <w:rFonts w:cstheme="minorHAnsi"/>
          <w:sz w:val="24"/>
          <w:szCs w:val="24"/>
        </w:rPr>
        <w:t>depend on NHS</w:t>
      </w:r>
      <w:r w:rsidR="00E51C51">
        <w:rPr>
          <w:rFonts w:cstheme="minorHAnsi"/>
          <w:sz w:val="24"/>
          <w:szCs w:val="24"/>
        </w:rPr>
        <w:t xml:space="preserve">E </w:t>
      </w:r>
      <w:r w:rsidR="00D32DCF">
        <w:rPr>
          <w:rFonts w:cstheme="minorHAnsi"/>
          <w:sz w:val="24"/>
          <w:szCs w:val="24"/>
        </w:rPr>
        <w:t>and NHS Improvement</w:t>
      </w:r>
      <w:r w:rsidR="00E3158F" w:rsidRPr="00381EE5">
        <w:rPr>
          <w:rFonts w:cstheme="minorHAnsi"/>
          <w:sz w:val="24"/>
          <w:szCs w:val="24"/>
        </w:rPr>
        <w:t xml:space="preserve"> </w:t>
      </w:r>
      <w:r w:rsidRPr="00381EE5">
        <w:rPr>
          <w:rFonts w:cstheme="minorHAnsi"/>
          <w:sz w:val="24"/>
          <w:szCs w:val="24"/>
        </w:rPr>
        <w:t xml:space="preserve">ensuring </w:t>
      </w:r>
      <w:r w:rsidR="00696A71" w:rsidRPr="00381EE5">
        <w:rPr>
          <w:rFonts w:cstheme="minorHAnsi"/>
          <w:sz w:val="24"/>
          <w:szCs w:val="24"/>
        </w:rPr>
        <w:t xml:space="preserve">funding </w:t>
      </w:r>
      <w:r w:rsidR="00CB267B" w:rsidRPr="00381EE5">
        <w:rPr>
          <w:rFonts w:cstheme="minorHAnsi"/>
          <w:sz w:val="24"/>
          <w:szCs w:val="24"/>
        </w:rPr>
        <w:t xml:space="preserve">for </w:t>
      </w:r>
      <w:r w:rsidRPr="00381EE5">
        <w:rPr>
          <w:rFonts w:cstheme="minorHAnsi"/>
          <w:sz w:val="24"/>
          <w:szCs w:val="24"/>
        </w:rPr>
        <w:t xml:space="preserve">adequate additional </w:t>
      </w:r>
      <w:r w:rsidR="008E2C7E" w:rsidRPr="00381EE5">
        <w:rPr>
          <w:rFonts w:cstheme="minorHAnsi"/>
          <w:sz w:val="24"/>
          <w:szCs w:val="24"/>
        </w:rPr>
        <w:t>inpatient</w:t>
      </w:r>
      <w:r w:rsidRPr="00381EE5">
        <w:rPr>
          <w:rFonts w:cstheme="minorHAnsi"/>
          <w:sz w:val="24"/>
          <w:szCs w:val="24"/>
        </w:rPr>
        <w:t xml:space="preserve"> capacity</w:t>
      </w:r>
      <w:r w:rsidR="00324275" w:rsidRPr="00381EE5">
        <w:rPr>
          <w:rFonts w:cstheme="minorHAnsi"/>
          <w:sz w:val="24"/>
          <w:szCs w:val="24"/>
        </w:rPr>
        <w:t xml:space="preserve"> (Ayton </w:t>
      </w:r>
      <w:r w:rsidR="00324275" w:rsidRPr="00381EE5">
        <w:rPr>
          <w:rFonts w:cstheme="minorHAnsi"/>
          <w:i/>
          <w:iCs/>
          <w:sz w:val="24"/>
          <w:szCs w:val="24"/>
        </w:rPr>
        <w:t>et al.,</w:t>
      </w:r>
      <w:r w:rsidR="00324275" w:rsidRPr="00381EE5">
        <w:rPr>
          <w:rFonts w:cstheme="minorHAnsi"/>
          <w:sz w:val="24"/>
          <w:szCs w:val="24"/>
        </w:rPr>
        <w:t xml:space="preserve"> 2021)</w:t>
      </w:r>
      <w:r w:rsidRPr="00381EE5">
        <w:rPr>
          <w:rFonts w:cstheme="minorHAnsi"/>
          <w:sz w:val="24"/>
          <w:szCs w:val="24"/>
        </w:rPr>
        <w:t xml:space="preserve">. </w:t>
      </w:r>
      <w:r w:rsidR="00ED19BE" w:rsidRPr="00381EE5">
        <w:rPr>
          <w:rFonts w:cstheme="minorHAnsi"/>
          <w:sz w:val="24"/>
          <w:szCs w:val="24"/>
        </w:rPr>
        <w:t>In this regard, t</w:t>
      </w:r>
      <w:r w:rsidR="00750F5A" w:rsidRPr="00381EE5">
        <w:rPr>
          <w:rFonts w:cstheme="minorHAnsi"/>
          <w:sz w:val="24"/>
          <w:szCs w:val="24"/>
        </w:rPr>
        <w:t xml:space="preserve">he demand for </w:t>
      </w:r>
      <w:r w:rsidR="00EE516A" w:rsidRPr="00381EE5">
        <w:rPr>
          <w:rFonts w:cstheme="minorHAnsi"/>
          <w:sz w:val="24"/>
          <w:szCs w:val="24"/>
        </w:rPr>
        <w:t xml:space="preserve">inpatient beds has quadrupled </w:t>
      </w:r>
      <w:r w:rsidR="00634D87" w:rsidRPr="00381EE5">
        <w:rPr>
          <w:rFonts w:cstheme="minorHAnsi"/>
          <w:sz w:val="24"/>
          <w:szCs w:val="24"/>
        </w:rPr>
        <w:t>in England since 2007/8</w:t>
      </w:r>
      <w:r w:rsidR="00890CE2" w:rsidRPr="00381EE5">
        <w:rPr>
          <w:rFonts w:cstheme="minorHAnsi"/>
          <w:sz w:val="24"/>
          <w:szCs w:val="24"/>
        </w:rPr>
        <w:t xml:space="preserve"> (NHS Digital</w:t>
      </w:r>
      <w:r w:rsidR="00D82C80" w:rsidRPr="00381EE5">
        <w:rPr>
          <w:rFonts w:cstheme="minorHAnsi"/>
          <w:sz w:val="24"/>
          <w:szCs w:val="24"/>
        </w:rPr>
        <w:t>,</w:t>
      </w:r>
      <w:r w:rsidR="00890CE2" w:rsidRPr="00381EE5">
        <w:rPr>
          <w:rFonts w:cstheme="minorHAnsi"/>
          <w:sz w:val="24"/>
          <w:szCs w:val="24"/>
        </w:rPr>
        <w:t xml:space="preserve"> 20</w:t>
      </w:r>
      <w:r w:rsidR="00872EC4">
        <w:rPr>
          <w:rFonts w:cstheme="minorHAnsi"/>
          <w:sz w:val="24"/>
          <w:szCs w:val="24"/>
        </w:rPr>
        <w:t>21</w:t>
      </w:r>
      <w:r w:rsidR="00890CE2" w:rsidRPr="00381EE5">
        <w:rPr>
          <w:rFonts w:cstheme="minorHAnsi"/>
          <w:sz w:val="24"/>
          <w:szCs w:val="24"/>
        </w:rPr>
        <w:t>)</w:t>
      </w:r>
      <w:r w:rsidR="000360A7" w:rsidRPr="00381EE5">
        <w:rPr>
          <w:rFonts w:cstheme="minorHAnsi"/>
          <w:sz w:val="24"/>
          <w:szCs w:val="24"/>
        </w:rPr>
        <w:t xml:space="preserve"> </w:t>
      </w:r>
      <w:r w:rsidR="00F22DE4" w:rsidRPr="00381EE5">
        <w:rPr>
          <w:rFonts w:cstheme="minorHAnsi"/>
          <w:sz w:val="24"/>
          <w:szCs w:val="24"/>
        </w:rPr>
        <w:t xml:space="preserve">and </w:t>
      </w:r>
      <w:r w:rsidR="00B15350" w:rsidRPr="00381EE5">
        <w:rPr>
          <w:rFonts w:cstheme="minorHAnsi"/>
          <w:sz w:val="24"/>
          <w:szCs w:val="24"/>
        </w:rPr>
        <w:t xml:space="preserve">the </w:t>
      </w:r>
      <w:r w:rsidR="000D5EB6" w:rsidRPr="00381EE5">
        <w:rPr>
          <w:rFonts w:cstheme="minorHAnsi"/>
          <w:sz w:val="24"/>
          <w:szCs w:val="24"/>
        </w:rPr>
        <w:t>demand for</w:t>
      </w:r>
      <w:r w:rsidR="00B15350" w:rsidRPr="00381EE5">
        <w:rPr>
          <w:rFonts w:cstheme="minorHAnsi"/>
          <w:sz w:val="24"/>
          <w:szCs w:val="24"/>
        </w:rPr>
        <w:t xml:space="preserve"> beds </w:t>
      </w:r>
      <w:r w:rsidR="00EE516A" w:rsidRPr="00381EE5">
        <w:rPr>
          <w:rFonts w:cstheme="minorHAnsi"/>
          <w:sz w:val="24"/>
          <w:szCs w:val="24"/>
        </w:rPr>
        <w:t xml:space="preserve">is unlikely to </w:t>
      </w:r>
      <w:r w:rsidR="00ED19BE" w:rsidRPr="00381EE5">
        <w:rPr>
          <w:rFonts w:cstheme="minorHAnsi"/>
          <w:sz w:val="24"/>
          <w:szCs w:val="24"/>
        </w:rPr>
        <w:t xml:space="preserve">reduce </w:t>
      </w:r>
      <w:r w:rsidR="00B15350" w:rsidRPr="00381EE5">
        <w:rPr>
          <w:rFonts w:cstheme="minorHAnsi"/>
          <w:sz w:val="24"/>
          <w:szCs w:val="24"/>
        </w:rPr>
        <w:t xml:space="preserve">in the immediate future. </w:t>
      </w:r>
    </w:p>
    <w:p w14:paraId="6453EECF" w14:textId="77777777" w:rsidR="007C0ED5" w:rsidRDefault="00B039AC" w:rsidP="00E764AA">
      <w:pPr>
        <w:spacing w:line="480" w:lineRule="auto"/>
        <w:rPr>
          <w:rFonts w:cstheme="minorHAnsi"/>
          <w:b/>
          <w:bCs/>
          <w:sz w:val="24"/>
          <w:szCs w:val="24"/>
        </w:rPr>
      </w:pPr>
      <w:r w:rsidRPr="00ED1F15">
        <w:rPr>
          <w:rFonts w:cstheme="minorHAnsi"/>
          <w:b/>
          <w:bCs/>
          <w:sz w:val="24"/>
          <w:szCs w:val="24"/>
        </w:rPr>
        <w:t>Author</w:t>
      </w:r>
      <w:r w:rsidR="003A55CD" w:rsidRPr="00ED1F15">
        <w:rPr>
          <w:rFonts w:cstheme="minorHAnsi"/>
          <w:b/>
          <w:bCs/>
          <w:sz w:val="24"/>
          <w:szCs w:val="24"/>
        </w:rPr>
        <w:t>s</w:t>
      </w:r>
    </w:p>
    <w:p w14:paraId="1B76EAA3" w14:textId="27FB074D" w:rsidR="00933292" w:rsidRPr="00A0422C" w:rsidRDefault="00B039AC" w:rsidP="00E764AA">
      <w:pPr>
        <w:spacing w:line="480" w:lineRule="auto"/>
        <w:rPr>
          <w:rFonts w:cstheme="minorHAnsi"/>
          <w:sz w:val="24"/>
          <w:szCs w:val="24"/>
        </w:rPr>
      </w:pPr>
      <w:r w:rsidRPr="00BF02A2">
        <w:rPr>
          <w:rFonts w:cstheme="minorHAnsi"/>
          <w:b/>
          <w:bCs/>
          <w:sz w:val="24"/>
          <w:szCs w:val="24"/>
        </w:rPr>
        <w:t>David Viljoen</w:t>
      </w:r>
      <w:r w:rsidR="00326AEF">
        <w:rPr>
          <w:rFonts w:cstheme="minorHAnsi"/>
          <w:b/>
          <w:bCs/>
          <w:sz w:val="24"/>
          <w:szCs w:val="24"/>
        </w:rPr>
        <w:t xml:space="preserve">, </w:t>
      </w:r>
      <w:r w:rsidRPr="00A0422C">
        <w:rPr>
          <w:rFonts w:cstheme="minorHAnsi"/>
          <w:sz w:val="24"/>
          <w:szCs w:val="24"/>
        </w:rPr>
        <w:t>Consultant Clinical Psychologist</w:t>
      </w:r>
      <w:r w:rsidR="00AC5CEC" w:rsidRPr="00A0422C">
        <w:rPr>
          <w:rFonts w:cstheme="minorHAnsi"/>
          <w:sz w:val="24"/>
          <w:szCs w:val="24"/>
        </w:rPr>
        <w:t xml:space="preserve">, Oxford Health </w:t>
      </w:r>
      <w:r w:rsidR="00871CBF" w:rsidRPr="00A0422C">
        <w:rPr>
          <w:rFonts w:cstheme="minorHAnsi"/>
          <w:sz w:val="24"/>
          <w:szCs w:val="24"/>
        </w:rPr>
        <w:t xml:space="preserve">NHS Foundation Trust, </w:t>
      </w:r>
      <w:r w:rsidR="00365629" w:rsidRPr="00A0422C">
        <w:rPr>
          <w:rFonts w:cstheme="minorHAnsi"/>
          <w:sz w:val="24"/>
          <w:szCs w:val="24"/>
        </w:rPr>
        <w:t>d</w:t>
      </w:r>
      <w:r w:rsidR="00871CBF" w:rsidRPr="00A0422C">
        <w:rPr>
          <w:rFonts w:cstheme="minorHAnsi"/>
          <w:sz w:val="24"/>
          <w:szCs w:val="24"/>
        </w:rPr>
        <w:t>avid.viljoen@oxfordhealth</w:t>
      </w:r>
      <w:r w:rsidR="00365629" w:rsidRPr="00A0422C">
        <w:rPr>
          <w:rFonts w:cstheme="minorHAnsi"/>
          <w:sz w:val="24"/>
          <w:szCs w:val="24"/>
        </w:rPr>
        <w:t>.nhs.uk</w:t>
      </w:r>
      <w:r w:rsidR="00504669" w:rsidRPr="00A0422C">
        <w:rPr>
          <w:rFonts w:cstheme="minorHAnsi"/>
          <w:sz w:val="24"/>
          <w:szCs w:val="24"/>
        </w:rPr>
        <w:t xml:space="preserve"> </w:t>
      </w:r>
    </w:p>
    <w:p w14:paraId="3CB729F2" w14:textId="02FD733D" w:rsidR="0006608B" w:rsidRPr="00A0422C" w:rsidRDefault="00A67A06" w:rsidP="00E764AA">
      <w:pPr>
        <w:spacing w:line="480" w:lineRule="auto"/>
        <w:rPr>
          <w:rFonts w:cstheme="minorHAnsi"/>
          <w:sz w:val="24"/>
          <w:szCs w:val="24"/>
        </w:rPr>
      </w:pPr>
      <w:r w:rsidRPr="00A0422C">
        <w:rPr>
          <w:rFonts w:cstheme="minorHAnsi"/>
          <w:b/>
          <w:bCs/>
          <w:sz w:val="24"/>
          <w:szCs w:val="24"/>
        </w:rPr>
        <w:t>Agnes Ayton</w:t>
      </w:r>
      <w:r w:rsidR="00326AEF" w:rsidRPr="00A0422C">
        <w:rPr>
          <w:rFonts w:cstheme="minorHAnsi"/>
          <w:b/>
          <w:bCs/>
          <w:sz w:val="24"/>
          <w:szCs w:val="24"/>
        </w:rPr>
        <w:t xml:space="preserve">, </w:t>
      </w:r>
      <w:r w:rsidRPr="00A0422C">
        <w:rPr>
          <w:rFonts w:cstheme="minorHAnsi"/>
          <w:sz w:val="24"/>
          <w:szCs w:val="24"/>
        </w:rPr>
        <w:t>Consultant Psychiatrist, Oxford Health NHS Foundation Trust</w:t>
      </w:r>
      <w:r w:rsidR="00326AEF" w:rsidRPr="00A0422C">
        <w:rPr>
          <w:rFonts w:cstheme="minorHAnsi"/>
          <w:sz w:val="24"/>
          <w:szCs w:val="24"/>
        </w:rPr>
        <w:t>;</w:t>
      </w:r>
      <w:r w:rsidR="007C0ED5" w:rsidRPr="00A0422C">
        <w:rPr>
          <w:rFonts w:cstheme="minorHAnsi"/>
          <w:sz w:val="24"/>
          <w:szCs w:val="24"/>
        </w:rPr>
        <w:t xml:space="preserve"> </w:t>
      </w:r>
      <w:r w:rsidR="0006608B" w:rsidRPr="00A0422C">
        <w:rPr>
          <w:rFonts w:cstheme="minorHAnsi"/>
          <w:sz w:val="24"/>
          <w:szCs w:val="24"/>
        </w:rPr>
        <w:t>Chair of the Faculty for Eating Disorders, RCPsych</w:t>
      </w:r>
    </w:p>
    <w:p w14:paraId="503A9E30" w14:textId="77777777" w:rsidR="007C0ED5" w:rsidRPr="00A0422C" w:rsidRDefault="007C0ED5" w:rsidP="00E764AA">
      <w:pPr>
        <w:spacing w:line="480" w:lineRule="auto"/>
        <w:rPr>
          <w:rFonts w:cstheme="minorHAnsi"/>
          <w:sz w:val="24"/>
          <w:szCs w:val="24"/>
        </w:rPr>
      </w:pPr>
    </w:p>
    <w:p w14:paraId="3FC30D77" w14:textId="78748CD4" w:rsidR="000E2285" w:rsidRPr="00A0422C" w:rsidRDefault="00E55CB5" w:rsidP="00E764AA">
      <w:pPr>
        <w:spacing w:line="480" w:lineRule="auto"/>
        <w:rPr>
          <w:rFonts w:cstheme="minorHAnsi"/>
          <w:b/>
          <w:bCs/>
          <w:sz w:val="24"/>
          <w:szCs w:val="24"/>
        </w:rPr>
      </w:pPr>
      <w:r w:rsidRPr="00A0422C">
        <w:rPr>
          <w:rFonts w:cstheme="minorHAnsi"/>
          <w:b/>
          <w:bCs/>
          <w:sz w:val="24"/>
          <w:szCs w:val="24"/>
        </w:rPr>
        <w:t>Acknowledgments</w:t>
      </w:r>
    </w:p>
    <w:p w14:paraId="1295C69E" w14:textId="73D365AA" w:rsidR="00B21F68" w:rsidRPr="00A0422C" w:rsidRDefault="00E55CB5" w:rsidP="00E764AA">
      <w:pPr>
        <w:spacing w:line="480" w:lineRule="auto"/>
        <w:rPr>
          <w:rFonts w:cstheme="minorHAnsi"/>
          <w:sz w:val="24"/>
          <w:szCs w:val="24"/>
        </w:rPr>
      </w:pPr>
      <w:r w:rsidRPr="00A0422C">
        <w:rPr>
          <w:rFonts w:cstheme="minorHAnsi"/>
          <w:sz w:val="24"/>
          <w:szCs w:val="24"/>
        </w:rPr>
        <w:t>We would like to thank</w:t>
      </w:r>
      <w:r w:rsidR="00C66170" w:rsidRPr="00A0422C">
        <w:rPr>
          <w:rFonts w:cstheme="minorHAnsi"/>
          <w:sz w:val="24"/>
          <w:szCs w:val="24"/>
        </w:rPr>
        <w:t xml:space="preserve"> all the clinicians</w:t>
      </w:r>
      <w:r w:rsidR="005B61C7" w:rsidRPr="00A0422C">
        <w:rPr>
          <w:rFonts w:cstheme="minorHAnsi"/>
          <w:sz w:val="24"/>
          <w:szCs w:val="24"/>
        </w:rPr>
        <w:t xml:space="preserve">, </w:t>
      </w:r>
      <w:r w:rsidR="00713B72" w:rsidRPr="00A0422C">
        <w:rPr>
          <w:rFonts w:cstheme="minorHAnsi"/>
          <w:sz w:val="24"/>
          <w:szCs w:val="24"/>
        </w:rPr>
        <w:t>operational managers,</w:t>
      </w:r>
      <w:r w:rsidR="00C66170" w:rsidRPr="00A0422C">
        <w:rPr>
          <w:rFonts w:cstheme="minorHAnsi"/>
          <w:sz w:val="24"/>
          <w:szCs w:val="24"/>
        </w:rPr>
        <w:t xml:space="preserve"> </w:t>
      </w:r>
      <w:r w:rsidR="005B61C7" w:rsidRPr="00A0422C">
        <w:rPr>
          <w:rFonts w:cstheme="minorHAnsi"/>
          <w:sz w:val="24"/>
          <w:szCs w:val="24"/>
        </w:rPr>
        <w:t xml:space="preserve">and providers </w:t>
      </w:r>
      <w:r w:rsidR="00713B72" w:rsidRPr="00A0422C">
        <w:rPr>
          <w:rFonts w:cstheme="minorHAnsi"/>
          <w:sz w:val="24"/>
          <w:szCs w:val="24"/>
        </w:rPr>
        <w:t xml:space="preserve">who partnered </w:t>
      </w:r>
      <w:r w:rsidR="00B35A84" w:rsidRPr="00A0422C">
        <w:rPr>
          <w:rFonts w:cstheme="minorHAnsi"/>
          <w:sz w:val="24"/>
          <w:szCs w:val="24"/>
        </w:rPr>
        <w:t>in the o</w:t>
      </w:r>
      <w:r w:rsidR="00C66170" w:rsidRPr="00A0422C">
        <w:rPr>
          <w:rFonts w:cstheme="minorHAnsi"/>
          <w:sz w:val="24"/>
          <w:szCs w:val="24"/>
        </w:rPr>
        <w:t>riginal HOPE NCM</w:t>
      </w:r>
      <w:r w:rsidR="001F6689" w:rsidRPr="00A0422C">
        <w:rPr>
          <w:rFonts w:cstheme="minorHAnsi"/>
          <w:sz w:val="24"/>
          <w:szCs w:val="24"/>
        </w:rPr>
        <w:t>, including Duncan Ford, Sharon Ryan, Sam Gillanders and Me</w:t>
      </w:r>
      <w:r w:rsidR="00EB3B22" w:rsidRPr="00A0422C">
        <w:rPr>
          <w:rFonts w:cstheme="minorHAnsi"/>
          <w:sz w:val="24"/>
          <w:szCs w:val="24"/>
        </w:rPr>
        <w:t>l</w:t>
      </w:r>
      <w:r w:rsidR="001F6689" w:rsidRPr="00A0422C">
        <w:rPr>
          <w:rFonts w:cstheme="minorHAnsi"/>
          <w:sz w:val="24"/>
          <w:szCs w:val="24"/>
        </w:rPr>
        <w:t>lissa Akers who made the pilot a reality.</w:t>
      </w:r>
      <w:r w:rsidR="001352E1" w:rsidRPr="00A0422C">
        <w:rPr>
          <w:rFonts w:cstheme="minorHAnsi"/>
          <w:sz w:val="24"/>
          <w:szCs w:val="24"/>
        </w:rPr>
        <w:t xml:space="preserve"> </w:t>
      </w:r>
    </w:p>
    <w:p w14:paraId="0FF00D84" w14:textId="77777777" w:rsidR="007C0ED5" w:rsidRPr="00A0422C" w:rsidRDefault="007C0ED5" w:rsidP="00E764AA">
      <w:pPr>
        <w:spacing w:line="480" w:lineRule="auto"/>
        <w:rPr>
          <w:rFonts w:cstheme="minorHAnsi"/>
          <w:sz w:val="24"/>
          <w:szCs w:val="24"/>
        </w:rPr>
      </w:pPr>
    </w:p>
    <w:p w14:paraId="08EFD04F" w14:textId="6359F696" w:rsidR="00CC03CC" w:rsidRPr="00A0422C" w:rsidRDefault="00CC03CC" w:rsidP="00E764AA">
      <w:pPr>
        <w:spacing w:line="480" w:lineRule="auto"/>
        <w:rPr>
          <w:rFonts w:cstheme="minorHAnsi"/>
          <w:b/>
          <w:bCs/>
          <w:sz w:val="24"/>
          <w:szCs w:val="24"/>
        </w:rPr>
      </w:pPr>
      <w:r w:rsidRPr="00A0422C">
        <w:rPr>
          <w:rFonts w:cstheme="minorHAnsi"/>
          <w:b/>
          <w:bCs/>
          <w:sz w:val="24"/>
          <w:szCs w:val="24"/>
        </w:rPr>
        <w:t>Reference</w:t>
      </w:r>
      <w:r w:rsidR="00E55CB5" w:rsidRPr="00A0422C">
        <w:rPr>
          <w:rFonts w:cstheme="minorHAnsi"/>
          <w:b/>
          <w:bCs/>
          <w:sz w:val="24"/>
          <w:szCs w:val="24"/>
        </w:rPr>
        <w:t>s</w:t>
      </w:r>
    </w:p>
    <w:p w14:paraId="619CE286" w14:textId="763752E5" w:rsidR="00556BF5" w:rsidRPr="00A0422C" w:rsidRDefault="0022023D" w:rsidP="00E764AA">
      <w:pPr>
        <w:spacing w:line="480" w:lineRule="auto"/>
        <w:rPr>
          <w:rFonts w:cstheme="minorHAnsi"/>
          <w:sz w:val="24"/>
          <w:szCs w:val="24"/>
        </w:rPr>
      </w:pPr>
      <w:r w:rsidRPr="00A0422C">
        <w:rPr>
          <w:rFonts w:cstheme="minorHAnsi"/>
          <w:sz w:val="24"/>
          <w:szCs w:val="24"/>
        </w:rPr>
        <w:t>Alderwick, H., Dunn, P., Gar</w:t>
      </w:r>
      <w:r w:rsidR="00DE494B" w:rsidRPr="00A0422C">
        <w:rPr>
          <w:rFonts w:cstheme="minorHAnsi"/>
          <w:sz w:val="24"/>
          <w:szCs w:val="24"/>
        </w:rPr>
        <w:t>d</w:t>
      </w:r>
      <w:r w:rsidRPr="00A0422C">
        <w:rPr>
          <w:rFonts w:cstheme="minorHAnsi"/>
          <w:sz w:val="24"/>
          <w:szCs w:val="24"/>
        </w:rPr>
        <w:t xml:space="preserve">ner, T., </w:t>
      </w:r>
      <w:r w:rsidR="00DD6276" w:rsidRPr="00A0422C">
        <w:rPr>
          <w:rFonts w:cstheme="minorHAnsi"/>
          <w:sz w:val="24"/>
          <w:szCs w:val="24"/>
        </w:rPr>
        <w:t xml:space="preserve">Mays, N. &amp; Dixon, J. </w:t>
      </w:r>
      <w:r w:rsidR="0068461F" w:rsidRPr="00A0422C">
        <w:rPr>
          <w:rFonts w:cstheme="minorHAnsi"/>
          <w:sz w:val="24"/>
          <w:szCs w:val="24"/>
        </w:rPr>
        <w:t xml:space="preserve">(2021). Will a new NHS structure in England help recovery form the pandemic? </w:t>
      </w:r>
      <w:r w:rsidR="00DF4F83" w:rsidRPr="00A0422C">
        <w:rPr>
          <w:rFonts w:cstheme="minorHAnsi"/>
          <w:i/>
          <w:iCs/>
          <w:sz w:val="24"/>
          <w:szCs w:val="24"/>
        </w:rPr>
        <w:t>BMJ 2021;372:n248</w:t>
      </w:r>
      <w:r w:rsidR="00016A7A" w:rsidRPr="00A0422C">
        <w:rPr>
          <w:rFonts w:cstheme="minorHAnsi"/>
          <w:sz w:val="24"/>
          <w:szCs w:val="24"/>
        </w:rPr>
        <w:t>, retrieved</w:t>
      </w:r>
      <w:r w:rsidR="00A53EEE" w:rsidRPr="00A0422C">
        <w:rPr>
          <w:rFonts w:cstheme="minorHAnsi"/>
          <w:sz w:val="24"/>
          <w:szCs w:val="24"/>
        </w:rPr>
        <w:t xml:space="preserve"> 30 March 2021 from</w:t>
      </w:r>
      <w:r w:rsidR="00016A7A" w:rsidRPr="00A0422C">
        <w:rPr>
          <w:rFonts w:cstheme="minorHAnsi"/>
          <w:sz w:val="24"/>
          <w:szCs w:val="24"/>
        </w:rPr>
        <w:t xml:space="preserve"> </w:t>
      </w:r>
      <w:hyperlink r:id="rId7" w:history="1">
        <w:r w:rsidR="00016A7A" w:rsidRPr="00A0422C">
          <w:rPr>
            <w:rStyle w:val="Hyperlink"/>
            <w:rFonts w:cstheme="minorHAnsi"/>
            <w:color w:val="1C497D"/>
            <w:sz w:val="24"/>
            <w:szCs w:val="24"/>
            <w:u w:val="none"/>
            <w:bdr w:val="none" w:sz="0" w:space="0" w:color="auto" w:frame="1"/>
            <w:shd w:val="clear" w:color="auto" w:fill="FFFFFF"/>
          </w:rPr>
          <w:t>https://doi.org/10.1136/bmj.n248</w:t>
        </w:r>
      </w:hyperlink>
    </w:p>
    <w:p w14:paraId="75926B56" w14:textId="53077EEB" w:rsidR="00556BF5" w:rsidRPr="00A0422C" w:rsidRDefault="00212A86" w:rsidP="00E764AA">
      <w:pPr>
        <w:spacing w:line="480" w:lineRule="auto"/>
        <w:rPr>
          <w:rFonts w:cstheme="minorHAnsi"/>
          <w:sz w:val="24"/>
          <w:szCs w:val="24"/>
        </w:rPr>
      </w:pPr>
      <w:r w:rsidRPr="00A0422C">
        <w:rPr>
          <w:rFonts w:cstheme="minorHAnsi"/>
          <w:sz w:val="24"/>
          <w:szCs w:val="24"/>
        </w:rPr>
        <w:t xml:space="preserve">American Psychiatric Association (2013). </w:t>
      </w:r>
      <w:r w:rsidR="0004654A" w:rsidRPr="00A0422C">
        <w:rPr>
          <w:rFonts w:cstheme="minorHAnsi"/>
          <w:i/>
          <w:iCs/>
          <w:sz w:val="24"/>
          <w:szCs w:val="24"/>
        </w:rPr>
        <w:t>Diagnostic and statistical manual of mental disorders</w:t>
      </w:r>
      <w:r w:rsidR="00604CE1" w:rsidRPr="00A0422C">
        <w:rPr>
          <w:rFonts w:cstheme="minorHAnsi"/>
          <w:i/>
          <w:iCs/>
          <w:sz w:val="24"/>
          <w:szCs w:val="24"/>
        </w:rPr>
        <w:t xml:space="preserve"> </w:t>
      </w:r>
      <w:r w:rsidR="00604CE1" w:rsidRPr="00A0422C">
        <w:rPr>
          <w:rFonts w:cstheme="minorHAnsi"/>
          <w:sz w:val="24"/>
          <w:szCs w:val="24"/>
        </w:rPr>
        <w:t>(5</w:t>
      </w:r>
      <w:r w:rsidR="00604CE1" w:rsidRPr="00A0422C">
        <w:rPr>
          <w:rFonts w:cstheme="minorHAnsi"/>
          <w:sz w:val="24"/>
          <w:szCs w:val="24"/>
          <w:vertAlign w:val="superscript"/>
        </w:rPr>
        <w:t>th</w:t>
      </w:r>
      <w:r w:rsidR="00604CE1" w:rsidRPr="00A0422C">
        <w:rPr>
          <w:rFonts w:cstheme="minorHAnsi"/>
          <w:sz w:val="24"/>
          <w:szCs w:val="24"/>
        </w:rPr>
        <w:t xml:space="preserve"> edn). Arlington</w:t>
      </w:r>
      <w:r w:rsidR="00004D73" w:rsidRPr="00A0422C">
        <w:rPr>
          <w:rFonts w:cstheme="minorHAnsi"/>
          <w:sz w:val="24"/>
          <w:szCs w:val="24"/>
        </w:rPr>
        <w:t xml:space="preserve">, VA: Author. </w:t>
      </w:r>
    </w:p>
    <w:p w14:paraId="4F066256" w14:textId="7D530922" w:rsidR="005E58AF" w:rsidRPr="00A0422C" w:rsidRDefault="00064897" w:rsidP="00E764AA">
      <w:pPr>
        <w:spacing w:line="480" w:lineRule="auto"/>
        <w:rPr>
          <w:rStyle w:val="Hyperlink"/>
          <w:rFonts w:eastAsia="Times New Roman" w:cstheme="minorHAnsi"/>
          <w:color w:val="auto"/>
          <w:sz w:val="24"/>
          <w:szCs w:val="24"/>
        </w:rPr>
      </w:pPr>
      <w:r w:rsidRPr="00A0422C">
        <w:rPr>
          <w:rFonts w:cstheme="minorHAnsi"/>
          <w:sz w:val="24"/>
          <w:szCs w:val="24"/>
        </w:rPr>
        <w:t>Ayton, A., Viljoen, D., Ryan, S., Ibrahim, A. &amp; Ford, D. (2021).</w:t>
      </w:r>
      <w:r w:rsidRPr="00A0422C">
        <w:rPr>
          <w:rFonts w:cstheme="minorHAnsi"/>
          <w:i/>
          <w:iCs/>
          <w:sz w:val="24"/>
          <w:szCs w:val="24"/>
        </w:rPr>
        <w:t xml:space="preserve"> Risk, demand and capacity in adult specialist eating disorder services in the South of England – before and since Covid-19.</w:t>
      </w:r>
      <w:r w:rsidRPr="00A0422C">
        <w:rPr>
          <w:rFonts w:cstheme="minorHAnsi"/>
          <w:sz w:val="24"/>
          <w:szCs w:val="24"/>
        </w:rPr>
        <w:t xml:space="preserve"> Preprint,</w:t>
      </w:r>
      <w:r w:rsidR="001069AF" w:rsidRPr="00A0422C">
        <w:rPr>
          <w:rFonts w:cstheme="minorHAnsi"/>
          <w:sz w:val="24"/>
          <w:szCs w:val="24"/>
        </w:rPr>
        <w:t xml:space="preserve"> </w:t>
      </w:r>
      <w:hyperlink r:id="rId8" w:history="1">
        <w:r w:rsidR="001069AF" w:rsidRPr="00A0422C">
          <w:rPr>
            <w:rStyle w:val="Hyperlink"/>
            <w:rFonts w:eastAsia="Times New Roman" w:cstheme="minorHAnsi"/>
            <w:color w:val="auto"/>
            <w:sz w:val="24"/>
            <w:szCs w:val="24"/>
          </w:rPr>
          <w:t>https://psyarxiv.com/z76qj/</w:t>
        </w:r>
      </w:hyperlink>
    </w:p>
    <w:p w14:paraId="4EC02B5F" w14:textId="7310A886" w:rsidR="00C41AA6" w:rsidRPr="00A0422C" w:rsidRDefault="00E24332" w:rsidP="00E764AA">
      <w:pPr>
        <w:spacing w:line="480" w:lineRule="auto"/>
        <w:ind w:hanging="11"/>
        <w:rPr>
          <w:rFonts w:cstheme="minorHAnsi"/>
          <w:sz w:val="24"/>
          <w:szCs w:val="24"/>
        </w:rPr>
      </w:pPr>
      <w:r w:rsidRPr="00A0422C">
        <w:rPr>
          <w:rFonts w:cstheme="minorHAnsi"/>
          <w:sz w:val="24"/>
          <w:szCs w:val="24"/>
        </w:rPr>
        <w:t>Calugi</w:t>
      </w:r>
      <w:r w:rsidR="00C92E45" w:rsidRPr="00A0422C">
        <w:rPr>
          <w:rFonts w:cstheme="minorHAnsi"/>
          <w:sz w:val="24"/>
          <w:szCs w:val="24"/>
        </w:rPr>
        <w:t>,</w:t>
      </w:r>
      <w:r w:rsidRPr="00A0422C">
        <w:rPr>
          <w:rFonts w:cstheme="minorHAnsi"/>
          <w:sz w:val="24"/>
          <w:szCs w:val="24"/>
        </w:rPr>
        <w:t xml:space="preserve"> S</w:t>
      </w:r>
      <w:r w:rsidR="00061849" w:rsidRPr="00A0422C">
        <w:rPr>
          <w:rFonts w:cstheme="minorHAnsi"/>
          <w:sz w:val="24"/>
          <w:szCs w:val="24"/>
        </w:rPr>
        <w:t>.</w:t>
      </w:r>
      <w:r w:rsidRPr="00A0422C">
        <w:rPr>
          <w:rFonts w:cstheme="minorHAnsi"/>
          <w:sz w:val="24"/>
          <w:szCs w:val="24"/>
        </w:rPr>
        <w:t>, El Ghoch</w:t>
      </w:r>
      <w:r w:rsidR="00C92E45" w:rsidRPr="00A0422C">
        <w:rPr>
          <w:rFonts w:cstheme="minorHAnsi"/>
          <w:sz w:val="24"/>
          <w:szCs w:val="24"/>
        </w:rPr>
        <w:t>,</w:t>
      </w:r>
      <w:r w:rsidRPr="00A0422C">
        <w:rPr>
          <w:rFonts w:cstheme="minorHAnsi"/>
          <w:sz w:val="24"/>
          <w:szCs w:val="24"/>
        </w:rPr>
        <w:t xml:space="preserve"> M</w:t>
      </w:r>
      <w:r w:rsidR="00C92E45" w:rsidRPr="00A0422C">
        <w:rPr>
          <w:rFonts w:cstheme="minorHAnsi"/>
          <w:sz w:val="24"/>
          <w:szCs w:val="24"/>
        </w:rPr>
        <w:t xml:space="preserve">. &amp; </w:t>
      </w:r>
      <w:r w:rsidRPr="00A0422C">
        <w:rPr>
          <w:rFonts w:cstheme="minorHAnsi"/>
          <w:sz w:val="24"/>
          <w:szCs w:val="24"/>
        </w:rPr>
        <w:t>Dalle Grave</w:t>
      </w:r>
      <w:r w:rsidR="00C92E45" w:rsidRPr="00A0422C">
        <w:rPr>
          <w:rFonts w:cstheme="minorHAnsi"/>
          <w:sz w:val="24"/>
          <w:szCs w:val="24"/>
        </w:rPr>
        <w:t xml:space="preserve">, </w:t>
      </w:r>
      <w:r w:rsidRPr="00A0422C">
        <w:rPr>
          <w:rFonts w:cstheme="minorHAnsi"/>
          <w:sz w:val="24"/>
          <w:szCs w:val="24"/>
        </w:rPr>
        <w:t xml:space="preserve">R. </w:t>
      </w:r>
      <w:r w:rsidR="00C92E45" w:rsidRPr="00A0422C">
        <w:rPr>
          <w:rFonts w:cstheme="minorHAnsi"/>
          <w:sz w:val="24"/>
          <w:szCs w:val="24"/>
        </w:rPr>
        <w:t xml:space="preserve">(2017). </w:t>
      </w:r>
      <w:r w:rsidRPr="00A0422C">
        <w:rPr>
          <w:rFonts w:cstheme="minorHAnsi"/>
          <w:sz w:val="24"/>
          <w:szCs w:val="24"/>
        </w:rPr>
        <w:t xml:space="preserve">Intensive enhanced cognitive behavioural therapy for severe and enduring anorexia nervosa: A </w:t>
      </w:r>
      <w:r w:rsidR="001B6D5B" w:rsidRPr="00A0422C">
        <w:rPr>
          <w:rFonts w:cstheme="minorHAnsi"/>
          <w:sz w:val="24"/>
          <w:szCs w:val="24"/>
        </w:rPr>
        <w:t xml:space="preserve">longitudinal outcome study. </w:t>
      </w:r>
      <w:r w:rsidR="001B6D5B" w:rsidRPr="00A0422C">
        <w:rPr>
          <w:rFonts w:cstheme="minorHAnsi"/>
          <w:i/>
          <w:iCs/>
          <w:sz w:val="24"/>
          <w:szCs w:val="24"/>
        </w:rPr>
        <w:t>Behav</w:t>
      </w:r>
      <w:r w:rsidR="00E4006D" w:rsidRPr="00A0422C">
        <w:rPr>
          <w:rFonts w:cstheme="minorHAnsi"/>
          <w:i/>
          <w:iCs/>
          <w:sz w:val="24"/>
          <w:szCs w:val="24"/>
        </w:rPr>
        <w:t>io</w:t>
      </w:r>
      <w:r w:rsidR="00EF1425" w:rsidRPr="00A0422C">
        <w:rPr>
          <w:rFonts w:cstheme="minorHAnsi"/>
          <w:i/>
          <w:iCs/>
          <w:sz w:val="24"/>
          <w:szCs w:val="24"/>
        </w:rPr>
        <w:t>u</w:t>
      </w:r>
      <w:r w:rsidR="00E4006D" w:rsidRPr="00A0422C">
        <w:rPr>
          <w:rFonts w:cstheme="minorHAnsi"/>
          <w:i/>
          <w:iCs/>
          <w:sz w:val="24"/>
          <w:szCs w:val="24"/>
        </w:rPr>
        <w:t>r</w:t>
      </w:r>
      <w:r w:rsidR="001B6D5B" w:rsidRPr="00A0422C">
        <w:rPr>
          <w:rFonts w:cstheme="minorHAnsi"/>
          <w:i/>
          <w:iCs/>
          <w:sz w:val="24"/>
          <w:szCs w:val="24"/>
        </w:rPr>
        <w:t xml:space="preserve"> Res</w:t>
      </w:r>
      <w:r w:rsidR="00E4006D" w:rsidRPr="00A0422C">
        <w:rPr>
          <w:rFonts w:cstheme="minorHAnsi"/>
          <w:i/>
          <w:iCs/>
          <w:sz w:val="24"/>
          <w:szCs w:val="24"/>
        </w:rPr>
        <w:t>earch</w:t>
      </w:r>
      <w:r w:rsidR="00EF1425" w:rsidRPr="00A0422C">
        <w:rPr>
          <w:rFonts w:cstheme="minorHAnsi"/>
          <w:i/>
          <w:iCs/>
          <w:sz w:val="24"/>
          <w:szCs w:val="24"/>
        </w:rPr>
        <w:t xml:space="preserve"> and Therapy</w:t>
      </w:r>
      <w:r w:rsidR="00C92E45" w:rsidRPr="00A0422C">
        <w:rPr>
          <w:rFonts w:cstheme="minorHAnsi"/>
          <w:sz w:val="24"/>
          <w:szCs w:val="24"/>
        </w:rPr>
        <w:t xml:space="preserve">, </w:t>
      </w:r>
      <w:r w:rsidR="001B6D5B" w:rsidRPr="00A0422C">
        <w:rPr>
          <w:rFonts w:cstheme="minorHAnsi"/>
          <w:sz w:val="24"/>
          <w:szCs w:val="24"/>
        </w:rPr>
        <w:t>89</w:t>
      </w:r>
      <w:r w:rsidR="00C92E45" w:rsidRPr="00A0422C">
        <w:rPr>
          <w:rFonts w:cstheme="minorHAnsi"/>
          <w:sz w:val="24"/>
          <w:szCs w:val="24"/>
        </w:rPr>
        <w:t xml:space="preserve">, p. </w:t>
      </w:r>
      <w:r w:rsidR="001B6D5B" w:rsidRPr="00A0422C">
        <w:rPr>
          <w:rFonts w:cstheme="minorHAnsi"/>
          <w:sz w:val="24"/>
          <w:szCs w:val="24"/>
        </w:rPr>
        <w:t>41-48</w:t>
      </w:r>
      <w:r w:rsidR="00C92E45" w:rsidRPr="00A0422C">
        <w:rPr>
          <w:rFonts w:cstheme="minorHAnsi"/>
          <w:sz w:val="24"/>
          <w:szCs w:val="24"/>
        </w:rPr>
        <w:t>.</w:t>
      </w:r>
    </w:p>
    <w:p w14:paraId="6061CD07" w14:textId="09850291" w:rsidR="004B3A04" w:rsidRPr="00A0422C" w:rsidRDefault="004B3A04" w:rsidP="00E764AA">
      <w:pPr>
        <w:spacing w:line="480" w:lineRule="auto"/>
        <w:ind w:hanging="11"/>
        <w:rPr>
          <w:rFonts w:cstheme="minorHAnsi"/>
          <w:sz w:val="24"/>
          <w:szCs w:val="24"/>
        </w:rPr>
      </w:pPr>
      <w:r w:rsidRPr="00A0422C">
        <w:rPr>
          <w:rFonts w:cstheme="minorHAnsi"/>
          <w:sz w:val="24"/>
          <w:szCs w:val="24"/>
        </w:rPr>
        <w:t>Da</w:t>
      </w:r>
      <w:r w:rsidR="00CC295B" w:rsidRPr="00A0422C">
        <w:rPr>
          <w:rFonts w:cstheme="minorHAnsi"/>
          <w:sz w:val="24"/>
          <w:szCs w:val="24"/>
        </w:rPr>
        <w:t>lle Grave, R. (2013)</w:t>
      </w:r>
      <w:r w:rsidR="00AA5804" w:rsidRPr="00A0422C">
        <w:rPr>
          <w:rFonts w:cstheme="minorHAnsi"/>
          <w:sz w:val="24"/>
          <w:szCs w:val="24"/>
        </w:rPr>
        <w:t xml:space="preserve">. </w:t>
      </w:r>
      <w:r w:rsidR="00AA5804" w:rsidRPr="00A0422C">
        <w:rPr>
          <w:rFonts w:cstheme="minorHAnsi"/>
          <w:i/>
          <w:iCs/>
          <w:sz w:val="24"/>
          <w:szCs w:val="24"/>
        </w:rPr>
        <w:t xml:space="preserve">Multistep Cognitive Behavioural </w:t>
      </w:r>
      <w:r w:rsidR="001B6221" w:rsidRPr="00A0422C">
        <w:rPr>
          <w:rFonts w:cstheme="minorHAnsi"/>
          <w:i/>
          <w:iCs/>
          <w:sz w:val="24"/>
          <w:szCs w:val="24"/>
        </w:rPr>
        <w:t>Therapy for Eating Disorders</w:t>
      </w:r>
      <w:r w:rsidR="001B6221" w:rsidRPr="00A0422C">
        <w:rPr>
          <w:rFonts w:cstheme="minorHAnsi"/>
          <w:sz w:val="24"/>
          <w:szCs w:val="24"/>
        </w:rPr>
        <w:t xml:space="preserve">. Plymouth, UK: Jason Aronson. </w:t>
      </w:r>
    </w:p>
    <w:p w14:paraId="73E67029" w14:textId="0E5F3C72" w:rsidR="001844DC" w:rsidRDefault="001844DC" w:rsidP="00652B7C">
      <w:pPr>
        <w:spacing w:line="480" w:lineRule="auto"/>
        <w:ind w:hanging="11"/>
        <w:rPr>
          <w:rFonts w:cstheme="minorHAnsi"/>
          <w:sz w:val="24"/>
          <w:szCs w:val="24"/>
        </w:rPr>
      </w:pPr>
      <w:r w:rsidRPr="001844DC">
        <w:rPr>
          <w:rFonts w:cstheme="minorHAnsi"/>
          <w:sz w:val="24"/>
          <w:szCs w:val="24"/>
        </w:rPr>
        <w:t>Department of Health (200</w:t>
      </w:r>
      <w:r>
        <w:rPr>
          <w:rFonts w:cstheme="minorHAnsi"/>
          <w:sz w:val="24"/>
          <w:szCs w:val="24"/>
        </w:rPr>
        <w:t>7</w:t>
      </w:r>
      <w:r w:rsidRPr="001844DC">
        <w:rPr>
          <w:rFonts w:cstheme="minorHAnsi"/>
          <w:sz w:val="24"/>
          <w:szCs w:val="24"/>
        </w:rPr>
        <w:t xml:space="preserve">). </w:t>
      </w:r>
      <w:r w:rsidRPr="006B1012">
        <w:rPr>
          <w:rFonts w:cstheme="minorHAnsi"/>
          <w:i/>
          <w:iCs/>
          <w:sz w:val="24"/>
          <w:szCs w:val="24"/>
        </w:rPr>
        <w:t>Mental Health Act 2007</w:t>
      </w:r>
      <w:r w:rsidRPr="001844DC">
        <w:rPr>
          <w:rFonts w:cstheme="minorHAnsi"/>
          <w:sz w:val="24"/>
          <w:szCs w:val="24"/>
        </w:rPr>
        <w:t xml:space="preserve">. London: The Stationery Office. </w:t>
      </w:r>
    </w:p>
    <w:p w14:paraId="35780C83" w14:textId="2EBBC0F6" w:rsidR="001B6221" w:rsidRPr="00A0422C" w:rsidRDefault="001B6221" w:rsidP="00E764AA">
      <w:pPr>
        <w:spacing w:line="480" w:lineRule="auto"/>
        <w:ind w:hanging="11"/>
        <w:rPr>
          <w:rFonts w:cstheme="minorHAnsi"/>
          <w:sz w:val="24"/>
          <w:szCs w:val="24"/>
        </w:rPr>
      </w:pPr>
      <w:r w:rsidRPr="00A0422C">
        <w:rPr>
          <w:rFonts w:cstheme="minorHAnsi"/>
          <w:sz w:val="24"/>
          <w:szCs w:val="24"/>
        </w:rPr>
        <w:t xml:space="preserve">Fairburn, C. (2008). </w:t>
      </w:r>
      <w:r w:rsidRPr="00A0422C">
        <w:rPr>
          <w:rFonts w:cstheme="minorHAnsi"/>
          <w:i/>
          <w:iCs/>
          <w:sz w:val="24"/>
          <w:szCs w:val="24"/>
        </w:rPr>
        <w:t xml:space="preserve">Cognitive Behavioural Therapy </w:t>
      </w:r>
      <w:r w:rsidR="00286972" w:rsidRPr="00A0422C">
        <w:rPr>
          <w:rFonts w:cstheme="minorHAnsi"/>
          <w:i/>
          <w:iCs/>
          <w:sz w:val="24"/>
          <w:szCs w:val="24"/>
        </w:rPr>
        <w:t xml:space="preserve">and </w:t>
      </w:r>
      <w:r w:rsidRPr="00A0422C">
        <w:rPr>
          <w:rFonts w:cstheme="minorHAnsi"/>
          <w:i/>
          <w:iCs/>
          <w:sz w:val="24"/>
          <w:szCs w:val="24"/>
        </w:rPr>
        <w:t>Eating Disorders</w:t>
      </w:r>
      <w:r w:rsidRPr="00A0422C">
        <w:rPr>
          <w:rFonts w:cstheme="minorHAnsi"/>
          <w:sz w:val="24"/>
          <w:szCs w:val="24"/>
        </w:rPr>
        <w:t xml:space="preserve">. </w:t>
      </w:r>
      <w:r w:rsidR="00A17D11" w:rsidRPr="00A0422C">
        <w:rPr>
          <w:rFonts w:cstheme="minorHAnsi"/>
          <w:sz w:val="24"/>
          <w:szCs w:val="24"/>
        </w:rPr>
        <w:t xml:space="preserve">New York: Guildford. </w:t>
      </w:r>
    </w:p>
    <w:p w14:paraId="4B567D01" w14:textId="6BBB16B5" w:rsidR="005E58AF" w:rsidRPr="00A0422C" w:rsidRDefault="005E58AF" w:rsidP="00E764AA">
      <w:pPr>
        <w:spacing w:line="480" w:lineRule="auto"/>
        <w:ind w:hanging="11"/>
        <w:rPr>
          <w:rFonts w:cstheme="minorHAnsi"/>
          <w:sz w:val="24"/>
          <w:szCs w:val="24"/>
        </w:rPr>
      </w:pPr>
      <w:r w:rsidRPr="00A0422C">
        <w:rPr>
          <w:rFonts w:cstheme="minorHAnsi"/>
          <w:sz w:val="24"/>
          <w:szCs w:val="24"/>
        </w:rPr>
        <w:t xml:space="preserve">Gardner, L. &amp; Trueman, H. (2021). Improving mealtimes for </w:t>
      </w:r>
      <w:r w:rsidR="00072D5C" w:rsidRPr="00A0422C">
        <w:rPr>
          <w:rFonts w:cstheme="minorHAnsi"/>
          <w:sz w:val="24"/>
          <w:szCs w:val="24"/>
        </w:rPr>
        <w:t>client</w:t>
      </w:r>
      <w:r w:rsidRPr="00A0422C">
        <w:rPr>
          <w:rFonts w:cstheme="minorHAnsi"/>
          <w:sz w:val="24"/>
          <w:szCs w:val="24"/>
        </w:rPr>
        <w:t xml:space="preserve">s and staff within an eating disorder unit: understanding of the problem and first intervention during the pandemic – an initial report. </w:t>
      </w:r>
      <w:r w:rsidRPr="00A0422C">
        <w:rPr>
          <w:rFonts w:cstheme="minorHAnsi"/>
          <w:i/>
          <w:iCs/>
          <w:sz w:val="24"/>
          <w:szCs w:val="24"/>
        </w:rPr>
        <w:t xml:space="preserve">BMJ Open Quality, </w:t>
      </w:r>
      <w:r w:rsidRPr="00A0422C">
        <w:rPr>
          <w:rFonts w:cstheme="minorHAnsi"/>
          <w:sz w:val="24"/>
          <w:szCs w:val="24"/>
        </w:rPr>
        <w:t xml:space="preserve">Vol 10, 2. </w:t>
      </w:r>
    </w:p>
    <w:p w14:paraId="629CB0C5" w14:textId="0AFCD391" w:rsidR="00A56FFA" w:rsidRPr="00A0422C" w:rsidRDefault="00A56FFA" w:rsidP="003E6C3B">
      <w:pPr>
        <w:spacing w:line="360" w:lineRule="auto"/>
        <w:ind w:hanging="11"/>
        <w:rPr>
          <w:rStyle w:val="Hyperlink"/>
          <w:rFonts w:cstheme="minorHAnsi"/>
          <w:color w:val="auto"/>
          <w:sz w:val="24"/>
          <w:szCs w:val="24"/>
          <w:u w:val="none"/>
          <w:bdr w:val="none" w:sz="0" w:space="0" w:color="auto" w:frame="1"/>
          <w:shd w:val="clear" w:color="auto" w:fill="FFFFFF"/>
        </w:rPr>
      </w:pPr>
      <w:r w:rsidRPr="00A0422C">
        <w:rPr>
          <w:rFonts w:cstheme="minorHAnsi"/>
          <w:sz w:val="24"/>
          <w:szCs w:val="24"/>
        </w:rPr>
        <w:t>Moberl</w:t>
      </w:r>
      <w:r w:rsidR="00B47F37" w:rsidRPr="00A0422C">
        <w:rPr>
          <w:rFonts w:cstheme="minorHAnsi"/>
          <w:sz w:val="24"/>
          <w:szCs w:val="24"/>
        </w:rPr>
        <w:t xml:space="preserve">y, T. </w:t>
      </w:r>
      <w:r w:rsidRPr="00A0422C">
        <w:rPr>
          <w:rFonts w:cstheme="minorHAnsi"/>
          <w:sz w:val="24"/>
          <w:szCs w:val="24"/>
        </w:rPr>
        <w:t xml:space="preserve">(2018). Scrap NHS competition rules, BMA says. </w:t>
      </w:r>
      <w:r w:rsidR="006B04F4" w:rsidRPr="00A0422C">
        <w:rPr>
          <w:rFonts w:cstheme="minorHAnsi"/>
          <w:i/>
          <w:iCs/>
          <w:sz w:val="24"/>
          <w:szCs w:val="24"/>
        </w:rPr>
        <w:t>BMJ 2018;361:k2791</w:t>
      </w:r>
      <w:r w:rsidR="006B04F4" w:rsidRPr="00A0422C">
        <w:rPr>
          <w:rFonts w:cstheme="minorHAnsi"/>
          <w:sz w:val="24"/>
          <w:szCs w:val="24"/>
        </w:rPr>
        <w:t xml:space="preserve">, </w:t>
      </w:r>
      <w:r w:rsidR="002146CB">
        <w:rPr>
          <w:rFonts w:cstheme="minorHAnsi"/>
          <w:sz w:val="24"/>
          <w:szCs w:val="24"/>
        </w:rPr>
        <w:t>r</w:t>
      </w:r>
      <w:r w:rsidR="00B47F37" w:rsidRPr="00A0422C">
        <w:rPr>
          <w:rFonts w:cstheme="minorHAnsi"/>
          <w:sz w:val="24"/>
          <w:szCs w:val="24"/>
        </w:rPr>
        <w:t xml:space="preserve">etrieved 30 March 2021 from </w:t>
      </w:r>
      <w:hyperlink r:id="rId9" w:history="1">
        <w:r w:rsidR="006B04F4" w:rsidRPr="00A0422C">
          <w:rPr>
            <w:rStyle w:val="Hyperlink"/>
            <w:rFonts w:cstheme="minorHAnsi"/>
            <w:sz w:val="24"/>
            <w:szCs w:val="24"/>
            <w:bdr w:val="none" w:sz="0" w:space="0" w:color="auto" w:frame="1"/>
            <w:shd w:val="clear" w:color="auto" w:fill="FFFFFF"/>
          </w:rPr>
          <w:t>https://doi.org/10.1136/bmj.k2791</w:t>
        </w:r>
      </w:hyperlink>
    </w:p>
    <w:p w14:paraId="399789C4" w14:textId="17B30F8C" w:rsidR="009D48C2" w:rsidRPr="00403604" w:rsidRDefault="009D48C2" w:rsidP="003E6C3B">
      <w:pPr>
        <w:pStyle w:val="Default"/>
        <w:spacing w:line="360" w:lineRule="auto"/>
        <w:ind w:hanging="11"/>
        <w:rPr>
          <w:rFonts w:asciiTheme="minorHAnsi" w:hAnsiTheme="minorHAnsi" w:cstheme="minorHAnsi"/>
          <w:noProof/>
        </w:rPr>
      </w:pPr>
      <w:r w:rsidRPr="00A0422C">
        <w:rPr>
          <w:rFonts w:asciiTheme="minorHAnsi" w:hAnsiTheme="minorHAnsi" w:cstheme="minorHAnsi"/>
          <w:noProof/>
        </w:rPr>
        <w:t xml:space="preserve">NEL (2019). </w:t>
      </w:r>
      <w:r w:rsidR="00A237F2" w:rsidRPr="00A0422C">
        <w:rPr>
          <w:rFonts w:asciiTheme="minorHAnsi" w:hAnsiTheme="minorHAnsi" w:cstheme="minorHAnsi"/>
          <w:i/>
          <w:iCs/>
          <w:noProof/>
        </w:rPr>
        <w:t>Specialist Adult Eating Disorder Services in England</w:t>
      </w:r>
      <w:r w:rsidR="00374480" w:rsidRPr="00A0422C">
        <w:rPr>
          <w:rFonts w:asciiTheme="minorHAnsi" w:hAnsiTheme="minorHAnsi" w:cstheme="minorHAnsi"/>
          <w:i/>
          <w:iCs/>
          <w:noProof/>
        </w:rPr>
        <w:t>. Final Report.</w:t>
      </w:r>
      <w:r w:rsidR="00374480" w:rsidRPr="00A0422C">
        <w:rPr>
          <w:rFonts w:asciiTheme="minorHAnsi" w:hAnsiTheme="minorHAnsi" w:cstheme="minorHAnsi"/>
          <w:noProof/>
        </w:rPr>
        <w:t xml:space="preserve"> </w:t>
      </w:r>
      <w:r w:rsidR="009757B8" w:rsidRPr="00A0422C">
        <w:rPr>
          <w:rFonts w:asciiTheme="minorHAnsi" w:hAnsiTheme="minorHAnsi" w:cstheme="minorHAnsi"/>
          <w:noProof/>
        </w:rPr>
        <w:t>Leeds</w:t>
      </w:r>
      <w:r w:rsidR="009757B8">
        <w:rPr>
          <w:rFonts w:asciiTheme="minorHAnsi" w:hAnsiTheme="minorHAnsi" w:cstheme="minorHAnsi"/>
          <w:noProof/>
        </w:rPr>
        <w:t>:</w:t>
      </w:r>
      <w:r w:rsidR="009757B8" w:rsidRPr="00A0422C">
        <w:rPr>
          <w:rFonts w:asciiTheme="minorHAnsi" w:hAnsiTheme="minorHAnsi" w:cstheme="minorHAnsi"/>
          <w:noProof/>
        </w:rPr>
        <w:t xml:space="preserve"> </w:t>
      </w:r>
      <w:r w:rsidR="002358A6" w:rsidRPr="00A0422C">
        <w:rPr>
          <w:rFonts w:asciiTheme="minorHAnsi" w:hAnsiTheme="minorHAnsi" w:cstheme="minorHAnsi"/>
          <w:noProof/>
        </w:rPr>
        <w:t>NHS</w:t>
      </w:r>
      <w:r w:rsidR="008E4EED" w:rsidRPr="00A0422C">
        <w:rPr>
          <w:rFonts w:asciiTheme="minorHAnsi" w:hAnsiTheme="minorHAnsi" w:cstheme="minorHAnsi"/>
          <w:noProof/>
        </w:rPr>
        <w:t xml:space="preserve"> England</w:t>
      </w:r>
      <w:r w:rsidR="00F05DCF" w:rsidRPr="00A0422C">
        <w:rPr>
          <w:rFonts w:asciiTheme="minorHAnsi" w:hAnsiTheme="minorHAnsi" w:cstheme="minorHAnsi"/>
          <w:noProof/>
        </w:rPr>
        <w:t>.</w:t>
      </w:r>
      <w:r w:rsidR="008E4EED" w:rsidRPr="00A0422C">
        <w:rPr>
          <w:rFonts w:asciiTheme="minorHAnsi" w:hAnsiTheme="minorHAnsi" w:cstheme="minorHAnsi"/>
          <w:noProof/>
        </w:rPr>
        <w:t xml:space="preserve"> </w:t>
      </w:r>
    </w:p>
    <w:p w14:paraId="3A1E8A29" w14:textId="123DDDA0" w:rsidR="005366FA" w:rsidRPr="00403604" w:rsidRDefault="003E6C3B" w:rsidP="003E6C3B">
      <w:pPr>
        <w:pStyle w:val="EndNoteBibliography"/>
        <w:spacing w:after="0" w:line="360" w:lineRule="auto"/>
        <w:rPr>
          <w:sz w:val="24"/>
          <w:szCs w:val="24"/>
        </w:rPr>
      </w:pPr>
      <w:r w:rsidRPr="00403604">
        <w:rPr>
          <w:rFonts w:asciiTheme="minorHAnsi" w:hAnsiTheme="minorHAnsi" w:cstheme="minorHAnsi"/>
          <w:noProof/>
          <w:sz w:val="24"/>
          <w:szCs w:val="24"/>
        </w:rPr>
        <w:t xml:space="preserve">NHS Digital. (2020). </w:t>
      </w:r>
      <w:r w:rsidRPr="00403604">
        <w:rPr>
          <w:rFonts w:asciiTheme="minorHAnsi" w:hAnsiTheme="minorHAnsi" w:cstheme="minorHAnsi"/>
          <w:i/>
          <w:iCs/>
          <w:noProof/>
          <w:sz w:val="24"/>
          <w:szCs w:val="24"/>
        </w:rPr>
        <w:t>Health Survey for England</w:t>
      </w:r>
      <w:r w:rsidR="005366FA" w:rsidRPr="00403604">
        <w:rPr>
          <w:rFonts w:asciiTheme="minorHAnsi" w:hAnsiTheme="minorHAnsi" w:cstheme="minorHAnsi"/>
          <w:i/>
          <w:iCs/>
          <w:noProof/>
          <w:sz w:val="24"/>
          <w:szCs w:val="24"/>
        </w:rPr>
        <w:t>,</w:t>
      </w:r>
      <w:r w:rsidRPr="00403604">
        <w:rPr>
          <w:rFonts w:asciiTheme="minorHAnsi" w:hAnsiTheme="minorHAnsi" w:cstheme="minorHAnsi"/>
          <w:i/>
          <w:iCs/>
          <w:noProof/>
          <w:sz w:val="24"/>
          <w:szCs w:val="24"/>
        </w:rPr>
        <w:t xml:space="preserve"> 2019: </w:t>
      </w:r>
      <w:r w:rsidR="00741B89" w:rsidRPr="00403604">
        <w:rPr>
          <w:rFonts w:asciiTheme="minorHAnsi" w:hAnsiTheme="minorHAnsi" w:cstheme="minorHAnsi"/>
          <w:i/>
          <w:iCs/>
          <w:noProof/>
          <w:sz w:val="24"/>
          <w:szCs w:val="24"/>
        </w:rPr>
        <w:t>Data Tables</w:t>
      </w:r>
      <w:r w:rsidRPr="00403604">
        <w:rPr>
          <w:rFonts w:asciiTheme="minorHAnsi" w:hAnsiTheme="minorHAnsi" w:cstheme="minorHAnsi"/>
          <w:noProof/>
          <w:sz w:val="24"/>
          <w:szCs w:val="24"/>
        </w:rPr>
        <w:t xml:space="preserve">, retrieved </w:t>
      </w:r>
      <w:r w:rsidR="00F20DDC" w:rsidRPr="00403604">
        <w:rPr>
          <w:rFonts w:asciiTheme="minorHAnsi" w:hAnsiTheme="minorHAnsi" w:cstheme="minorHAnsi"/>
          <w:noProof/>
          <w:sz w:val="24"/>
          <w:szCs w:val="24"/>
        </w:rPr>
        <w:t xml:space="preserve">14 June </w:t>
      </w:r>
      <w:r w:rsidRPr="00403604">
        <w:rPr>
          <w:rFonts w:asciiTheme="minorHAnsi" w:hAnsiTheme="minorHAnsi" w:cstheme="minorHAnsi"/>
          <w:noProof/>
          <w:sz w:val="24"/>
          <w:szCs w:val="24"/>
        </w:rPr>
        <w:t xml:space="preserve"> 2021 from: </w:t>
      </w:r>
      <w:hyperlink r:id="rId10" w:history="1">
        <w:r w:rsidR="005366FA" w:rsidRPr="00403604">
          <w:rPr>
            <w:rStyle w:val="Hyperlink"/>
            <w:sz w:val="24"/>
            <w:szCs w:val="24"/>
          </w:rPr>
          <w:t>https://digital.nhs.uk/data-and-information/publications/statistical/health-survey-for-england/2019/health-survey-for-england-2019-data-tables</w:t>
        </w:r>
      </w:hyperlink>
    </w:p>
    <w:p w14:paraId="6C3931A8" w14:textId="4720717E" w:rsidR="00342B02" w:rsidRPr="00403604" w:rsidRDefault="00342B02" w:rsidP="003E6C3B">
      <w:pPr>
        <w:pStyle w:val="Default"/>
        <w:spacing w:line="360" w:lineRule="auto"/>
        <w:ind w:hanging="11"/>
        <w:rPr>
          <w:rFonts w:asciiTheme="minorHAnsi" w:hAnsiTheme="minorHAnsi" w:cstheme="minorHAnsi"/>
          <w:noProof/>
        </w:rPr>
      </w:pPr>
      <w:r w:rsidRPr="00403604">
        <w:rPr>
          <w:rFonts w:asciiTheme="minorHAnsi" w:hAnsiTheme="minorHAnsi" w:cstheme="minorHAnsi"/>
          <w:noProof/>
        </w:rPr>
        <w:t>NHS Digital</w:t>
      </w:r>
      <w:r w:rsidR="00B933B3" w:rsidRPr="00403604">
        <w:rPr>
          <w:rFonts w:asciiTheme="minorHAnsi" w:hAnsiTheme="minorHAnsi" w:cstheme="minorHAnsi"/>
          <w:noProof/>
        </w:rPr>
        <w:t>.</w:t>
      </w:r>
      <w:r w:rsidR="00D61AFE" w:rsidRPr="00403604">
        <w:rPr>
          <w:rFonts w:asciiTheme="minorHAnsi" w:hAnsiTheme="minorHAnsi" w:cstheme="minorHAnsi"/>
          <w:noProof/>
        </w:rPr>
        <w:t xml:space="preserve"> (20</w:t>
      </w:r>
      <w:r w:rsidR="00D55185" w:rsidRPr="00403604">
        <w:rPr>
          <w:rFonts w:asciiTheme="minorHAnsi" w:hAnsiTheme="minorHAnsi" w:cstheme="minorHAnsi"/>
          <w:noProof/>
        </w:rPr>
        <w:t>21</w:t>
      </w:r>
      <w:r w:rsidR="00D61AFE" w:rsidRPr="00403604">
        <w:rPr>
          <w:rFonts w:asciiTheme="minorHAnsi" w:hAnsiTheme="minorHAnsi" w:cstheme="minorHAnsi"/>
          <w:noProof/>
        </w:rPr>
        <w:t>)</w:t>
      </w:r>
      <w:r w:rsidRPr="00403604">
        <w:rPr>
          <w:rFonts w:asciiTheme="minorHAnsi" w:hAnsiTheme="minorHAnsi" w:cstheme="minorHAnsi"/>
          <w:noProof/>
        </w:rPr>
        <w:t xml:space="preserve">. </w:t>
      </w:r>
      <w:r w:rsidR="00CF6238" w:rsidRPr="00403604">
        <w:rPr>
          <w:rFonts w:asciiTheme="minorHAnsi" w:hAnsiTheme="minorHAnsi" w:cstheme="minorHAnsi"/>
          <w:i/>
          <w:iCs/>
          <w:noProof/>
        </w:rPr>
        <w:t>Hospital admissions for eating disorders, 2016-2020</w:t>
      </w:r>
      <w:r w:rsidR="00F21907" w:rsidRPr="00403604">
        <w:rPr>
          <w:rFonts w:asciiTheme="minorHAnsi" w:hAnsiTheme="minorHAnsi" w:cstheme="minorHAnsi"/>
          <w:noProof/>
        </w:rPr>
        <w:t xml:space="preserve">, retrieved </w:t>
      </w:r>
      <w:r w:rsidR="00CF6238" w:rsidRPr="00403604">
        <w:rPr>
          <w:rFonts w:asciiTheme="minorHAnsi" w:hAnsiTheme="minorHAnsi" w:cstheme="minorHAnsi"/>
          <w:noProof/>
        </w:rPr>
        <w:t>14</w:t>
      </w:r>
      <w:r w:rsidR="00CF6238" w:rsidRPr="00403604">
        <w:rPr>
          <w:rFonts w:asciiTheme="minorHAnsi" w:hAnsiTheme="minorHAnsi" w:cstheme="minorHAnsi"/>
          <w:noProof/>
          <w:vertAlign w:val="superscript"/>
        </w:rPr>
        <w:t xml:space="preserve"> </w:t>
      </w:r>
      <w:r w:rsidR="00CF6238" w:rsidRPr="00403604">
        <w:rPr>
          <w:rFonts w:asciiTheme="minorHAnsi" w:hAnsiTheme="minorHAnsi" w:cstheme="minorHAnsi"/>
          <w:noProof/>
        </w:rPr>
        <w:t xml:space="preserve">June </w:t>
      </w:r>
      <w:r w:rsidR="00F21907" w:rsidRPr="00403604">
        <w:rPr>
          <w:rFonts w:asciiTheme="minorHAnsi" w:hAnsiTheme="minorHAnsi" w:cstheme="minorHAnsi"/>
          <w:noProof/>
        </w:rPr>
        <w:t>202</w:t>
      </w:r>
      <w:r w:rsidR="002146CB" w:rsidRPr="00403604">
        <w:rPr>
          <w:rFonts w:asciiTheme="minorHAnsi" w:hAnsiTheme="minorHAnsi" w:cstheme="minorHAnsi"/>
          <w:noProof/>
        </w:rPr>
        <w:t xml:space="preserve">1 </w:t>
      </w:r>
      <w:r w:rsidR="00F21907" w:rsidRPr="00403604">
        <w:rPr>
          <w:rFonts w:asciiTheme="minorHAnsi" w:hAnsiTheme="minorHAnsi" w:cstheme="minorHAnsi"/>
          <w:noProof/>
        </w:rPr>
        <w:t>f</w:t>
      </w:r>
      <w:r w:rsidRPr="00403604">
        <w:rPr>
          <w:rFonts w:asciiTheme="minorHAnsi" w:hAnsiTheme="minorHAnsi" w:cstheme="minorHAnsi"/>
          <w:noProof/>
        </w:rPr>
        <w:t xml:space="preserve">rom: </w:t>
      </w:r>
      <w:hyperlink r:id="rId11" w:history="1">
        <w:r w:rsidR="001E1708" w:rsidRPr="00403604">
          <w:rPr>
            <w:rStyle w:val="Hyperlink"/>
            <w:rFonts w:asciiTheme="minorHAnsi" w:hAnsiTheme="minorHAnsi" w:cstheme="minorHAnsi"/>
            <w:noProof/>
          </w:rPr>
          <w:t>https://digital.nhs.uk/data-and-information/supplementary-information/2021/hospital-admissions-for-eating-disorders-2016-2020</w:t>
        </w:r>
      </w:hyperlink>
    </w:p>
    <w:p w14:paraId="61C54C3D" w14:textId="2AA5286A" w:rsidR="004E40C0" w:rsidRPr="00A0422C" w:rsidRDefault="00EC0DB8" w:rsidP="00E764AA">
      <w:pPr>
        <w:spacing w:line="480" w:lineRule="auto"/>
        <w:rPr>
          <w:rFonts w:cstheme="minorHAnsi"/>
          <w:sz w:val="24"/>
          <w:szCs w:val="24"/>
        </w:rPr>
      </w:pPr>
      <w:r w:rsidRPr="00A0422C">
        <w:rPr>
          <w:rFonts w:cstheme="minorHAnsi"/>
          <w:sz w:val="24"/>
          <w:szCs w:val="24"/>
        </w:rPr>
        <w:t>NHS England</w:t>
      </w:r>
      <w:r w:rsidR="00F81FA6" w:rsidRPr="00A0422C">
        <w:rPr>
          <w:rFonts w:cstheme="minorHAnsi"/>
          <w:sz w:val="24"/>
          <w:szCs w:val="24"/>
        </w:rPr>
        <w:t xml:space="preserve"> (</w:t>
      </w:r>
      <w:r w:rsidR="002B5C9E" w:rsidRPr="00A0422C">
        <w:rPr>
          <w:rFonts w:cstheme="minorHAnsi"/>
          <w:sz w:val="24"/>
          <w:szCs w:val="24"/>
        </w:rPr>
        <w:t>2021a</w:t>
      </w:r>
      <w:r w:rsidR="00F81FA6" w:rsidRPr="00A0422C">
        <w:rPr>
          <w:rFonts w:cstheme="minorHAnsi"/>
          <w:sz w:val="24"/>
          <w:szCs w:val="24"/>
        </w:rPr>
        <w:t>).</w:t>
      </w:r>
      <w:r w:rsidRPr="00A0422C">
        <w:rPr>
          <w:rFonts w:cstheme="minorHAnsi"/>
          <w:sz w:val="24"/>
          <w:szCs w:val="24"/>
        </w:rPr>
        <w:t xml:space="preserve"> </w:t>
      </w:r>
      <w:r w:rsidRPr="00A0422C">
        <w:rPr>
          <w:rFonts w:cstheme="minorHAnsi"/>
          <w:i/>
          <w:iCs/>
          <w:sz w:val="24"/>
          <w:szCs w:val="24"/>
        </w:rPr>
        <w:t>NHS-Led Provider Collaboratives: specialised mental health, learning disability and autism services</w:t>
      </w:r>
      <w:r w:rsidR="00EE26B6">
        <w:rPr>
          <w:rFonts w:cstheme="minorHAnsi"/>
          <w:sz w:val="24"/>
          <w:szCs w:val="24"/>
        </w:rPr>
        <w:t>, r</w:t>
      </w:r>
      <w:r w:rsidRPr="00A0422C">
        <w:rPr>
          <w:rFonts w:cstheme="minorHAnsi"/>
          <w:sz w:val="24"/>
          <w:szCs w:val="24"/>
        </w:rPr>
        <w:t xml:space="preserve">etrieved </w:t>
      </w:r>
      <w:r w:rsidR="00F81FA6" w:rsidRPr="00A0422C">
        <w:rPr>
          <w:rFonts w:cstheme="minorHAnsi"/>
          <w:sz w:val="24"/>
          <w:szCs w:val="24"/>
        </w:rPr>
        <w:t xml:space="preserve">20 March 2021 </w:t>
      </w:r>
      <w:r w:rsidRPr="00A0422C">
        <w:rPr>
          <w:rFonts w:cstheme="minorHAnsi"/>
          <w:sz w:val="24"/>
          <w:szCs w:val="24"/>
        </w:rPr>
        <w:t xml:space="preserve">from </w:t>
      </w:r>
      <w:hyperlink r:id="rId12" w:history="1">
        <w:r w:rsidRPr="00A0422C">
          <w:rPr>
            <w:rStyle w:val="Hyperlink"/>
            <w:rFonts w:cstheme="minorHAnsi"/>
            <w:color w:val="auto"/>
            <w:sz w:val="24"/>
            <w:szCs w:val="24"/>
          </w:rPr>
          <w:t>https://www.england.nhs.uk/mental-health/nhs-led-provider-collaboratives/</w:t>
        </w:r>
      </w:hyperlink>
      <w:r w:rsidR="004E40C0" w:rsidRPr="00A0422C">
        <w:rPr>
          <w:rFonts w:cstheme="minorHAnsi"/>
          <w:sz w:val="24"/>
          <w:szCs w:val="24"/>
        </w:rPr>
        <w:t xml:space="preserve"> </w:t>
      </w:r>
    </w:p>
    <w:p w14:paraId="458435F4" w14:textId="09A8E1B1" w:rsidR="00584637" w:rsidRPr="00A0422C" w:rsidRDefault="00EC0DB8" w:rsidP="00E764AA">
      <w:pPr>
        <w:spacing w:line="480" w:lineRule="auto"/>
        <w:rPr>
          <w:rStyle w:val="Hyperlink"/>
          <w:rFonts w:cstheme="minorHAnsi"/>
          <w:color w:val="auto"/>
          <w:sz w:val="24"/>
          <w:szCs w:val="24"/>
        </w:rPr>
      </w:pPr>
      <w:r w:rsidRPr="00A0422C">
        <w:rPr>
          <w:rFonts w:cstheme="minorHAnsi"/>
          <w:sz w:val="24"/>
          <w:szCs w:val="24"/>
        </w:rPr>
        <w:t xml:space="preserve">NHS England </w:t>
      </w:r>
      <w:r w:rsidR="00F81FA6" w:rsidRPr="00A0422C">
        <w:rPr>
          <w:rFonts w:cstheme="minorHAnsi"/>
          <w:sz w:val="24"/>
          <w:szCs w:val="24"/>
        </w:rPr>
        <w:t>(</w:t>
      </w:r>
      <w:r w:rsidR="00117FD8" w:rsidRPr="00A0422C">
        <w:rPr>
          <w:rFonts w:cstheme="minorHAnsi"/>
          <w:sz w:val="24"/>
          <w:szCs w:val="24"/>
        </w:rPr>
        <w:t>2021b</w:t>
      </w:r>
      <w:r w:rsidR="00F81FA6" w:rsidRPr="00A0422C">
        <w:rPr>
          <w:rFonts w:cstheme="minorHAnsi"/>
          <w:sz w:val="24"/>
          <w:szCs w:val="24"/>
        </w:rPr>
        <w:t>).</w:t>
      </w:r>
      <w:r w:rsidRPr="00A0422C">
        <w:rPr>
          <w:rFonts w:cstheme="minorHAnsi"/>
          <w:sz w:val="24"/>
          <w:szCs w:val="24"/>
        </w:rPr>
        <w:t xml:space="preserve"> </w:t>
      </w:r>
      <w:r w:rsidRPr="00A0422C">
        <w:rPr>
          <w:rFonts w:cstheme="minorHAnsi"/>
          <w:i/>
          <w:iCs/>
          <w:sz w:val="24"/>
          <w:szCs w:val="24"/>
        </w:rPr>
        <w:t>Mental health trusts work in partnership to support people affected by eating disorders</w:t>
      </w:r>
      <w:r w:rsidR="00063658">
        <w:rPr>
          <w:rFonts w:cstheme="minorHAnsi"/>
          <w:i/>
          <w:iCs/>
          <w:sz w:val="24"/>
          <w:szCs w:val="24"/>
        </w:rPr>
        <w:t>, r</w:t>
      </w:r>
      <w:r w:rsidRPr="00A0422C">
        <w:rPr>
          <w:rFonts w:cstheme="minorHAnsi"/>
          <w:sz w:val="24"/>
          <w:szCs w:val="24"/>
        </w:rPr>
        <w:t xml:space="preserve">etrieved </w:t>
      </w:r>
      <w:r w:rsidR="00F81FA6" w:rsidRPr="00A0422C">
        <w:rPr>
          <w:rFonts w:cstheme="minorHAnsi"/>
          <w:sz w:val="24"/>
          <w:szCs w:val="24"/>
        </w:rPr>
        <w:t>2</w:t>
      </w:r>
      <w:r w:rsidR="00346FAD" w:rsidRPr="00A0422C">
        <w:rPr>
          <w:rFonts w:cstheme="minorHAnsi"/>
          <w:sz w:val="24"/>
          <w:szCs w:val="24"/>
        </w:rPr>
        <w:t xml:space="preserve">7 May </w:t>
      </w:r>
      <w:r w:rsidR="00F81FA6" w:rsidRPr="00A0422C">
        <w:rPr>
          <w:rFonts w:cstheme="minorHAnsi"/>
          <w:sz w:val="24"/>
          <w:szCs w:val="24"/>
        </w:rPr>
        <w:t xml:space="preserve">2021 </w:t>
      </w:r>
      <w:r w:rsidRPr="00A0422C">
        <w:rPr>
          <w:rFonts w:cstheme="minorHAnsi"/>
          <w:sz w:val="24"/>
          <w:szCs w:val="24"/>
        </w:rPr>
        <w:t xml:space="preserve">from </w:t>
      </w:r>
      <w:hyperlink r:id="rId13" w:history="1">
        <w:r w:rsidR="0006293B" w:rsidRPr="00A0422C">
          <w:rPr>
            <w:rStyle w:val="Hyperlink"/>
            <w:rFonts w:cstheme="minorHAnsi"/>
            <w:color w:val="auto"/>
            <w:sz w:val="24"/>
            <w:szCs w:val="24"/>
            <w:u w:val="none"/>
          </w:rPr>
          <w:t>https://www.england.nhs.uk/mental-health/case-studies/mental-health-trusts-work-in-partnership-to-support-people-affected-by-eating-disorders/</w:t>
        </w:r>
      </w:hyperlink>
    </w:p>
    <w:p w14:paraId="127EA0C1" w14:textId="28299395" w:rsidR="008B37D7" w:rsidRPr="00A0422C" w:rsidRDefault="008B37D7" w:rsidP="008B37D7">
      <w:pPr>
        <w:pStyle w:val="Default"/>
        <w:spacing w:line="480" w:lineRule="auto"/>
        <w:ind w:hanging="11"/>
        <w:rPr>
          <w:rFonts w:asciiTheme="minorHAnsi" w:hAnsiTheme="minorHAnsi" w:cstheme="minorHAnsi"/>
          <w:color w:val="auto"/>
        </w:rPr>
      </w:pPr>
      <w:r w:rsidRPr="00A0422C">
        <w:rPr>
          <w:rFonts w:asciiTheme="minorHAnsi" w:hAnsiTheme="minorHAnsi" w:cstheme="minorHAnsi"/>
          <w:color w:val="auto"/>
        </w:rPr>
        <w:t xml:space="preserve">Niche Health and Social Care Consulting (2019). </w:t>
      </w:r>
      <w:r w:rsidRPr="00A0422C">
        <w:rPr>
          <w:rFonts w:asciiTheme="minorHAnsi" w:hAnsiTheme="minorHAnsi" w:cstheme="minorHAnsi"/>
          <w:i/>
          <w:iCs/>
          <w:color w:val="auto"/>
        </w:rPr>
        <w:t>Evaluation of New Care Models in mental Health</w:t>
      </w:r>
      <w:r w:rsidRPr="00A0422C">
        <w:rPr>
          <w:rFonts w:asciiTheme="minorHAnsi" w:hAnsiTheme="minorHAnsi" w:cstheme="minorHAnsi"/>
          <w:color w:val="auto"/>
        </w:rPr>
        <w:t xml:space="preserve">. </w:t>
      </w:r>
      <w:r w:rsidR="00002888" w:rsidRPr="00A0422C">
        <w:rPr>
          <w:rFonts w:asciiTheme="minorHAnsi" w:hAnsiTheme="minorHAnsi" w:cstheme="minorHAnsi"/>
          <w:color w:val="auto"/>
        </w:rPr>
        <w:t>Manchester</w:t>
      </w:r>
      <w:r w:rsidR="00002888">
        <w:rPr>
          <w:rFonts w:asciiTheme="minorHAnsi" w:hAnsiTheme="minorHAnsi" w:cstheme="minorHAnsi"/>
          <w:color w:val="auto"/>
        </w:rPr>
        <w:t>:</w:t>
      </w:r>
      <w:r w:rsidR="00002888" w:rsidRPr="00A0422C">
        <w:rPr>
          <w:rFonts w:asciiTheme="minorHAnsi" w:hAnsiTheme="minorHAnsi" w:cstheme="minorHAnsi"/>
          <w:color w:val="auto"/>
        </w:rPr>
        <w:t xml:space="preserve"> </w:t>
      </w:r>
      <w:r w:rsidRPr="00A0422C">
        <w:rPr>
          <w:rFonts w:asciiTheme="minorHAnsi" w:hAnsiTheme="minorHAnsi" w:cstheme="minorHAnsi"/>
          <w:color w:val="auto"/>
        </w:rPr>
        <w:t xml:space="preserve">Niche.  </w:t>
      </w:r>
    </w:p>
    <w:p w14:paraId="7F7F374E" w14:textId="447C805B" w:rsidR="00556BF5" w:rsidRPr="00A0422C" w:rsidRDefault="00AA651D" w:rsidP="00E764AA">
      <w:pPr>
        <w:spacing w:line="480" w:lineRule="auto"/>
        <w:ind w:hanging="11"/>
        <w:rPr>
          <w:rFonts w:cstheme="minorHAnsi"/>
          <w:sz w:val="24"/>
          <w:szCs w:val="24"/>
        </w:rPr>
      </w:pPr>
      <w:r w:rsidRPr="00A0422C">
        <w:rPr>
          <w:rFonts w:cstheme="minorHAnsi"/>
          <w:sz w:val="24"/>
          <w:szCs w:val="24"/>
        </w:rPr>
        <w:t>O</w:t>
      </w:r>
      <w:r w:rsidR="00556BF5" w:rsidRPr="00A0422C">
        <w:rPr>
          <w:rFonts w:cstheme="minorHAnsi"/>
          <w:sz w:val="24"/>
          <w:szCs w:val="24"/>
        </w:rPr>
        <w:t xml:space="preserve">’Shea, N. (2020). </w:t>
      </w:r>
      <w:r w:rsidR="00556BF5" w:rsidRPr="00EE26B6">
        <w:rPr>
          <w:rFonts w:cstheme="minorHAnsi"/>
          <w:i/>
          <w:iCs/>
          <w:sz w:val="24"/>
          <w:szCs w:val="24"/>
        </w:rPr>
        <w:t>Bringing care back home: Evaluating the New Care Models for children and young people’s mental health</w:t>
      </w:r>
      <w:r w:rsidR="00556BF5" w:rsidRPr="00A0422C">
        <w:rPr>
          <w:rFonts w:cstheme="minorHAnsi"/>
          <w:sz w:val="24"/>
          <w:szCs w:val="24"/>
        </w:rPr>
        <w:t>. Centre for Mental Health</w:t>
      </w:r>
      <w:r w:rsidR="00EE26B6">
        <w:rPr>
          <w:rFonts w:cstheme="minorHAnsi"/>
          <w:sz w:val="24"/>
          <w:szCs w:val="24"/>
        </w:rPr>
        <w:t>, r</w:t>
      </w:r>
      <w:r w:rsidR="00556BF5" w:rsidRPr="00A0422C">
        <w:rPr>
          <w:rFonts w:cstheme="minorHAnsi"/>
          <w:sz w:val="24"/>
          <w:szCs w:val="24"/>
        </w:rPr>
        <w:t xml:space="preserve">etrieved </w:t>
      </w:r>
      <w:r w:rsidR="00050587">
        <w:rPr>
          <w:rFonts w:cstheme="minorHAnsi"/>
          <w:sz w:val="24"/>
          <w:szCs w:val="24"/>
        </w:rPr>
        <w:t xml:space="preserve">27 May 2021 </w:t>
      </w:r>
      <w:r w:rsidR="00556BF5" w:rsidRPr="00A0422C">
        <w:rPr>
          <w:rFonts w:cstheme="minorHAnsi"/>
          <w:sz w:val="24"/>
          <w:szCs w:val="24"/>
        </w:rPr>
        <w:t xml:space="preserve">from  </w:t>
      </w:r>
      <w:hyperlink r:id="rId14" w:history="1">
        <w:r w:rsidR="00556BF5" w:rsidRPr="00A0422C">
          <w:rPr>
            <w:rStyle w:val="Hyperlink"/>
            <w:rFonts w:cstheme="minorHAnsi"/>
            <w:color w:val="auto"/>
            <w:sz w:val="24"/>
            <w:szCs w:val="24"/>
          </w:rPr>
          <w:t>https://www.centreformentalhealth.org.uk/sites/default/files/2020-03/CentreforMH_BringingCareBackHome_0.pdf</w:t>
        </w:r>
      </w:hyperlink>
    </w:p>
    <w:p w14:paraId="26378B69" w14:textId="275ABEA2" w:rsidR="004670A1" w:rsidRDefault="004670A1" w:rsidP="00E764AA">
      <w:pPr>
        <w:spacing w:line="480" w:lineRule="auto"/>
        <w:rPr>
          <w:rFonts w:cstheme="minorHAnsi"/>
          <w:sz w:val="24"/>
          <w:szCs w:val="24"/>
        </w:rPr>
      </w:pPr>
      <w:r>
        <w:rPr>
          <w:rFonts w:cstheme="minorHAnsi"/>
          <w:sz w:val="24"/>
          <w:szCs w:val="24"/>
        </w:rPr>
        <w:t>Royal College of Psychiatry</w:t>
      </w:r>
      <w:r w:rsidR="002E0C6C">
        <w:rPr>
          <w:rFonts w:cstheme="minorHAnsi"/>
          <w:sz w:val="24"/>
          <w:szCs w:val="24"/>
        </w:rPr>
        <w:t xml:space="preserve">. (2015). </w:t>
      </w:r>
      <w:r w:rsidR="002E0C6C" w:rsidRPr="004B176C">
        <w:rPr>
          <w:rFonts w:cstheme="minorHAnsi"/>
          <w:i/>
          <w:iCs/>
          <w:sz w:val="24"/>
          <w:szCs w:val="24"/>
        </w:rPr>
        <w:t xml:space="preserve">MARSIPAN Checklist for </w:t>
      </w:r>
      <w:r w:rsidR="00465336" w:rsidRPr="004B176C">
        <w:rPr>
          <w:rFonts w:cstheme="minorHAnsi"/>
          <w:i/>
          <w:iCs/>
          <w:sz w:val="24"/>
          <w:szCs w:val="24"/>
        </w:rPr>
        <w:t>Really Sick Patients with Anorexia Nervosa</w:t>
      </w:r>
      <w:r w:rsidR="00465336">
        <w:rPr>
          <w:rFonts w:cstheme="minorHAnsi"/>
          <w:sz w:val="24"/>
          <w:szCs w:val="24"/>
        </w:rPr>
        <w:t xml:space="preserve">. </w:t>
      </w:r>
      <w:r w:rsidR="003115E5">
        <w:rPr>
          <w:rFonts w:cstheme="minorHAnsi"/>
          <w:sz w:val="24"/>
          <w:szCs w:val="24"/>
        </w:rPr>
        <w:t xml:space="preserve">London. Author. </w:t>
      </w:r>
    </w:p>
    <w:p w14:paraId="0E8055DD" w14:textId="335EDBFA" w:rsidR="002B2EDE" w:rsidRPr="00A0422C" w:rsidRDefault="002B2EDE" w:rsidP="00E764AA">
      <w:pPr>
        <w:spacing w:line="480" w:lineRule="auto"/>
        <w:rPr>
          <w:rFonts w:cstheme="minorHAnsi"/>
          <w:sz w:val="24"/>
          <w:szCs w:val="24"/>
        </w:rPr>
      </w:pPr>
      <w:r w:rsidRPr="00A0422C">
        <w:rPr>
          <w:rFonts w:cstheme="minorHAnsi"/>
          <w:sz w:val="24"/>
          <w:szCs w:val="24"/>
        </w:rPr>
        <w:t>Sodeke-Gregson, A. (2021</w:t>
      </w:r>
      <w:r w:rsidR="00BA7508" w:rsidRPr="00A0422C">
        <w:rPr>
          <w:rFonts w:cstheme="minorHAnsi"/>
          <w:sz w:val="24"/>
          <w:szCs w:val="24"/>
        </w:rPr>
        <w:t>, June</w:t>
      </w:r>
      <w:r w:rsidRPr="00A0422C">
        <w:rPr>
          <w:rFonts w:cstheme="minorHAnsi"/>
          <w:sz w:val="24"/>
          <w:szCs w:val="24"/>
        </w:rPr>
        <w:t xml:space="preserve">). </w:t>
      </w:r>
      <w:r w:rsidR="00410E65" w:rsidRPr="00A0422C">
        <w:rPr>
          <w:rFonts w:cstheme="minorHAnsi"/>
          <w:sz w:val="24"/>
          <w:szCs w:val="24"/>
        </w:rPr>
        <w:t>Adult Eating Disorders Provider Collaboratives: An introduction.</w:t>
      </w:r>
      <w:r w:rsidRPr="00A0422C">
        <w:rPr>
          <w:rFonts w:cstheme="minorHAnsi"/>
          <w:b/>
          <w:bCs/>
          <w:sz w:val="24"/>
          <w:szCs w:val="24"/>
          <w:lang w:val="en-US"/>
        </w:rPr>
        <w:t xml:space="preserve"> </w:t>
      </w:r>
      <w:r w:rsidRPr="00A0422C">
        <w:rPr>
          <w:rFonts w:cstheme="minorHAnsi"/>
          <w:i/>
          <w:iCs/>
          <w:sz w:val="24"/>
          <w:szCs w:val="24"/>
        </w:rPr>
        <w:t xml:space="preserve">Clinical Psychology Forum, </w:t>
      </w:r>
      <w:r w:rsidR="00F32649" w:rsidRPr="00A0422C">
        <w:rPr>
          <w:rFonts w:cstheme="minorHAnsi"/>
          <w:i/>
          <w:iCs/>
          <w:sz w:val="24"/>
          <w:szCs w:val="24"/>
        </w:rPr>
        <w:t>342</w:t>
      </w:r>
      <w:r w:rsidR="00606DE5">
        <w:rPr>
          <w:rFonts w:cstheme="minorHAnsi"/>
          <w:i/>
          <w:iCs/>
          <w:sz w:val="24"/>
          <w:szCs w:val="24"/>
        </w:rPr>
        <w:t>.</w:t>
      </w:r>
    </w:p>
    <w:p w14:paraId="4A5EA6B8" w14:textId="77777777" w:rsidR="00C90E79" w:rsidRDefault="00C90E79" w:rsidP="00E764AA">
      <w:pPr>
        <w:spacing w:line="480" w:lineRule="auto"/>
        <w:rPr>
          <w:rFonts w:cstheme="minorHAnsi"/>
          <w:b/>
          <w:bCs/>
          <w:sz w:val="24"/>
          <w:szCs w:val="24"/>
        </w:rPr>
      </w:pPr>
    </w:p>
    <w:p w14:paraId="5119631B" w14:textId="1CC185A1" w:rsidR="002D4EB4" w:rsidRPr="00A0422C" w:rsidRDefault="005A6110" w:rsidP="00E764AA">
      <w:pPr>
        <w:spacing w:line="480" w:lineRule="auto"/>
        <w:rPr>
          <w:rFonts w:cstheme="minorHAnsi"/>
          <w:b/>
          <w:bCs/>
          <w:sz w:val="24"/>
          <w:szCs w:val="24"/>
        </w:rPr>
      </w:pPr>
      <w:r w:rsidRPr="00A0422C">
        <w:rPr>
          <w:rFonts w:cstheme="minorHAnsi"/>
          <w:b/>
          <w:bCs/>
          <w:sz w:val="24"/>
          <w:szCs w:val="24"/>
        </w:rPr>
        <w:t xml:space="preserve">Total word count: </w:t>
      </w:r>
      <w:r w:rsidR="008B1B54">
        <w:rPr>
          <w:rFonts w:cstheme="minorHAnsi"/>
          <w:b/>
          <w:bCs/>
          <w:sz w:val="24"/>
          <w:szCs w:val="24"/>
        </w:rPr>
        <w:t>3</w:t>
      </w:r>
      <w:r w:rsidR="00EB0ED8">
        <w:rPr>
          <w:rFonts w:cstheme="minorHAnsi"/>
          <w:b/>
          <w:bCs/>
          <w:sz w:val="24"/>
          <w:szCs w:val="24"/>
        </w:rPr>
        <w:t>0</w:t>
      </w:r>
      <w:r w:rsidR="00C90E79">
        <w:rPr>
          <w:rFonts w:cstheme="minorHAnsi"/>
          <w:b/>
          <w:bCs/>
          <w:sz w:val="24"/>
          <w:szCs w:val="24"/>
        </w:rPr>
        <w:t>73</w:t>
      </w:r>
    </w:p>
    <w:p w14:paraId="4D9FF931" w14:textId="25D2ECD7" w:rsidR="005A6110" w:rsidRPr="00A0422C" w:rsidRDefault="003349DC" w:rsidP="00E764AA">
      <w:pPr>
        <w:spacing w:line="480" w:lineRule="auto"/>
        <w:rPr>
          <w:rFonts w:cstheme="minorHAnsi"/>
          <w:sz w:val="24"/>
          <w:szCs w:val="24"/>
        </w:rPr>
      </w:pPr>
      <w:r w:rsidRPr="00A0422C">
        <w:rPr>
          <w:rFonts w:cstheme="minorHAnsi"/>
          <w:sz w:val="24"/>
          <w:szCs w:val="24"/>
        </w:rPr>
        <w:t>David Viljoen</w:t>
      </w:r>
    </w:p>
    <w:p w14:paraId="3F2053F6" w14:textId="6FAED9C3" w:rsidR="005A6110" w:rsidRPr="00A0422C" w:rsidRDefault="005B5176" w:rsidP="00E764AA">
      <w:pPr>
        <w:spacing w:line="480" w:lineRule="auto"/>
        <w:rPr>
          <w:rFonts w:cstheme="minorHAnsi"/>
          <w:sz w:val="24"/>
          <w:szCs w:val="24"/>
        </w:rPr>
      </w:pPr>
      <w:r w:rsidRPr="00A0422C">
        <w:rPr>
          <w:rFonts w:cstheme="minorHAnsi"/>
          <w:sz w:val="24"/>
          <w:szCs w:val="24"/>
        </w:rPr>
        <w:t xml:space="preserve">Consultant Clinical Psychologist, Oxford </w:t>
      </w:r>
      <w:r w:rsidR="002A230C" w:rsidRPr="00A0422C">
        <w:rPr>
          <w:rFonts w:cstheme="minorHAnsi"/>
          <w:sz w:val="24"/>
          <w:szCs w:val="24"/>
        </w:rPr>
        <w:t xml:space="preserve">(Cotswold House) and </w:t>
      </w:r>
      <w:r w:rsidR="00775BDA" w:rsidRPr="00A0422C">
        <w:rPr>
          <w:rFonts w:cstheme="minorHAnsi"/>
          <w:sz w:val="24"/>
          <w:szCs w:val="24"/>
        </w:rPr>
        <w:t>Buckinghamshire</w:t>
      </w:r>
      <w:r w:rsidR="002A230C" w:rsidRPr="00A0422C">
        <w:rPr>
          <w:rFonts w:cstheme="minorHAnsi"/>
          <w:sz w:val="24"/>
          <w:szCs w:val="24"/>
        </w:rPr>
        <w:t xml:space="preserve"> Adult </w:t>
      </w:r>
      <w:r w:rsidR="00556BF5" w:rsidRPr="00A0422C">
        <w:rPr>
          <w:rFonts w:cstheme="minorHAnsi"/>
          <w:sz w:val="24"/>
          <w:szCs w:val="24"/>
        </w:rPr>
        <w:t>Eating Disorders</w:t>
      </w:r>
      <w:r w:rsidR="002A230C" w:rsidRPr="00A0422C">
        <w:rPr>
          <w:rFonts w:cstheme="minorHAnsi"/>
          <w:sz w:val="24"/>
          <w:szCs w:val="24"/>
        </w:rPr>
        <w:t xml:space="preserve"> service. </w:t>
      </w:r>
    </w:p>
    <w:p w14:paraId="7B649B00" w14:textId="7BBD137F" w:rsidR="005A6110" w:rsidRPr="00A0422C" w:rsidRDefault="0050062F" w:rsidP="00E764AA">
      <w:pPr>
        <w:spacing w:line="480" w:lineRule="auto"/>
        <w:rPr>
          <w:rFonts w:cstheme="minorHAnsi"/>
          <w:sz w:val="24"/>
          <w:szCs w:val="24"/>
        </w:rPr>
      </w:pPr>
      <w:hyperlink r:id="rId15" w:history="1">
        <w:r w:rsidR="00372A58" w:rsidRPr="00A0422C">
          <w:rPr>
            <w:rStyle w:val="Hyperlink"/>
            <w:rFonts w:cstheme="minorHAnsi"/>
            <w:color w:val="auto"/>
            <w:sz w:val="24"/>
            <w:szCs w:val="24"/>
          </w:rPr>
          <w:t>david.viljoen@oxfordhealth.nhs.uk</w:t>
        </w:r>
      </w:hyperlink>
      <w:r w:rsidR="00372A58" w:rsidRPr="00A0422C">
        <w:rPr>
          <w:rFonts w:cstheme="minorHAnsi"/>
          <w:sz w:val="24"/>
          <w:szCs w:val="24"/>
        </w:rPr>
        <w:t xml:space="preserve"> (</w:t>
      </w:r>
      <w:r w:rsidR="009A77B1" w:rsidRPr="00A0422C">
        <w:rPr>
          <w:rFonts w:cstheme="minorHAnsi"/>
          <w:sz w:val="24"/>
          <w:szCs w:val="24"/>
        </w:rPr>
        <w:t>Tel. 01865 902534</w:t>
      </w:r>
      <w:r w:rsidR="00775BDA" w:rsidRPr="00A0422C">
        <w:rPr>
          <w:rFonts w:cstheme="minorHAnsi"/>
          <w:sz w:val="24"/>
          <w:szCs w:val="24"/>
        </w:rPr>
        <w:t>)</w:t>
      </w:r>
    </w:p>
    <w:p w14:paraId="33083FCA" w14:textId="5B2E7A4B" w:rsidR="005A6110" w:rsidRPr="00A0422C" w:rsidRDefault="005A6110" w:rsidP="00E764AA">
      <w:pPr>
        <w:spacing w:line="480" w:lineRule="auto"/>
        <w:rPr>
          <w:rFonts w:cstheme="minorHAnsi"/>
          <w:sz w:val="24"/>
          <w:szCs w:val="24"/>
        </w:rPr>
      </w:pPr>
      <w:r w:rsidRPr="00A0422C">
        <w:rPr>
          <w:rFonts w:cstheme="minorHAnsi"/>
          <w:sz w:val="24"/>
          <w:szCs w:val="24"/>
        </w:rPr>
        <w:t xml:space="preserve">Address: </w:t>
      </w:r>
      <w:r w:rsidR="004672F4" w:rsidRPr="00A0422C">
        <w:rPr>
          <w:rFonts w:cstheme="minorHAnsi"/>
          <w:sz w:val="24"/>
          <w:szCs w:val="24"/>
        </w:rPr>
        <w:t xml:space="preserve">Cotswold House Specialist Eating Disorders </w:t>
      </w:r>
      <w:r w:rsidR="003B0F3A" w:rsidRPr="00A0422C">
        <w:rPr>
          <w:rFonts w:cstheme="minorHAnsi"/>
          <w:sz w:val="24"/>
          <w:szCs w:val="24"/>
        </w:rPr>
        <w:t>Service, Warneford</w:t>
      </w:r>
      <w:r w:rsidR="004672F4" w:rsidRPr="00A0422C">
        <w:rPr>
          <w:rFonts w:cstheme="minorHAnsi"/>
          <w:sz w:val="24"/>
          <w:szCs w:val="24"/>
        </w:rPr>
        <w:t xml:space="preserve"> </w:t>
      </w:r>
      <w:r w:rsidR="00291357" w:rsidRPr="00A0422C">
        <w:rPr>
          <w:rFonts w:cstheme="minorHAnsi"/>
          <w:sz w:val="24"/>
          <w:szCs w:val="24"/>
        </w:rPr>
        <w:t>Hospital, Headington</w:t>
      </w:r>
      <w:r w:rsidR="00016299" w:rsidRPr="00A0422C">
        <w:rPr>
          <w:rFonts w:cstheme="minorHAnsi"/>
          <w:sz w:val="24"/>
          <w:szCs w:val="24"/>
        </w:rPr>
        <w:t xml:space="preserve">, </w:t>
      </w:r>
      <w:r w:rsidR="004672F4" w:rsidRPr="00A0422C">
        <w:rPr>
          <w:rFonts w:cstheme="minorHAnsi"/>
          <w:sz w:val="24"/>
          <w:szCs w:val="24"/>
        </w:rPr>
        <w:t>Oxford</w:t>
      </w:r>
      <w:r w:rsidR="00016299" w:rsidRPr="00A0422C">
        <w:rPr>
          <w:rFonts w:cstheme="minorHAnsi"/>
          <w:sz w:val="24"/>
          <w:szCs w:val="24"/>
        </w:rPr>
        <w:t xml:space="preserve">, </w:t>
      </w:r>
      <w:r w:rsidR="004672F4" w:rsidRPr="00A0422C">
        <w:rPr>
          <w:rFonts w:cstheme="minorHAnsi"/>
          <w:sz w:val="24"/>
          <w:szCs w:val="24"/>
        </w:rPr>
        <w:t>OX3 7JX</w:t>
      </w:r>
    </w:p>
    <w:p w14:paraId="505C9AAF" w14:textId="77777777" w:rsidR="005A6110" w:rsidRPr="00A0422C" w:rsidRDefault="005A6110" w:rsidP="00E764AA">
      <w:pPr>
        <w:spacing w:line="480" w:lineRule="auto"/>
        <w:rPr>
          <w:rFonts w:cstheme="minorHAnsi"/>
          <w:sz w:val="24"/>
          <w:szCs w:val="24"/>
        </w:rPr>
      </w:pPr>
    </w:p>
    <w:p w14:paraId="45C62C86" w14:textId="77777777" w:rsidR="005A6110" w:rsidRPr="00A0422C" w:rsidRDefault="005A6110" w:rsidP="00E764AA">
      <w:pPr>
        <w:spacing w:line="480" w:lineRule="auto"/>
        <w:rPr>
          <w:rFonts w:cstheme="minorHAnsi"/>
          <w:color w:val="FF0000"/>
          <w:sz w:val="24"/>
          <w:szCs w:val="24"/>
        </w:rPr>
      </w:pPr>
    </w:p>
    <w:p w14:paraId="7772C461" w14:textId="77777777" w:rsidR="00E764AA" w:rsidRPr="00A0422C" w:rsidRDefault="00E764AA">
      <w:pPr>
        <w:spacing w:line="480" w:lineRule="auto"/>
        <w:rPr>
          <w:rFonts w:cstheme="minorHAnsi"/>
          <w:color w:val="FF0000"/>
          <w:sz w:val="24"/>
          <w:szCs w:val="24"/>
        </w:rPr>
      </w:pPr>
    </w:p>
    <w:sectPr w:rsidR="00E764AA" w:rsidRPr="00A0422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A8729" w14:textId="77777777" w:rsidR="0050062F" w:rsidRDefault="0050062F" w:rsidP="003B6F80">
      <w:pPr>
        <w:spacing w:after="0" w:line="240" w:lineRule="auto"/>
      </w:pPr>
      <w:r>
        <w:separator/>
      </w:r>
    </w:p>
  </w:endnote>
  <w:endnote w:type="continuationSeparator" w:id="0">
    <w:p w14:paraId="1026A888" w14:textId="77777777" w:rsidR="0050062F" w:rsidRDefault="0050062F" w:rsidP="003B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tiv Grotesk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486204"/>
      <w:docPartObj>
        <w:docPartGallery w:val="Page Numbers (Bottom of Page)"/>
        <w:docPartUnique/>
      </w:docPartObj>
    </w:sdtPr>
    <w:sdtEndPr>
      <w:rPr>
        <w:noProof/>
      </w:rPr>
    </w:sdtEndPr>
    <w:sdtContent>
      <w:p w14:paraId="39B9333B" w14:textId="441AE96E" w:rsidR="003B6F80" w:rsidRDefault="003B6F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3811B0" w14:textId="77777777" w:rsidR="003B6F80" w:rsidRDefault="003B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9EF37" w14:textId="77777777" w:rsidR="0050062F" w:rsidRDefault="0050062F" w:rsidP="003B6F80">
      <w:pPr>
        <w:spacing w:after="0" w:line="240" w:lineRule="auto"/>
      </w:pPr>
      <w:r>
        <w:separator/>
      </w:r>
    </w:p>
  </w:footnote>
  <w:footnote w:type="continuationSeparator" w:id="0">
    <w:p w14:paraId="6CFC8B4C" w14:textId="77777777" w:rsidR="0050062F" w:rsidRDefault="0050062F" w:rsidP="003B6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3554"/>
    <w:multiLevelType w:val="hybridMultilevel"/>
    <w:tmpl w:val="9BAED3A6"/>
    <w:lvl w:ilvl="0" w:tplc="B01CB6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4486"/>
    <w:multiLevelType w:val="hybridMultilevel"/>
    <w:tmpl w:val="8D3EF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8C5362"/>
    <w:multiLevelType w:val="multilevel"/>
    <w:tmpl w:val="36A0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107F3"/>
    <w:multiLevelType w:val="hybridMultilevel"/>
    <w:tmpl w:val="D9D6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40426"/>
    <w:multiLevelType w:val="hybridMultilevel"/>
    <w:tmpl w:val="CFF4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F6E2F"/>
    <w:multiLevelType w:val="multilevel"/>
    <w:tmpl w:val="A5EC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0661D"/>
    <w:multiLevelType w:val="hybridMultilevel"/>
    <w:tmpl w:val="37E46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A84C6B"/>
    <w:multiLevelType w:val="hybridMultilevel"/>
    <w:tmpl w:val="96547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050322"/>
    <w:multiLevelType w:val="hybridMultilevel"/>
    <w:tmpl w:val="D242E2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0735B"/>
    <w:multiLevelType w:val="hybridMultilevel"/>
    <w:tmpl w:val="4AD0A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9F72C9"/>
    <w:multiLevelType w:val="hybridMultilevel"/>
    <w:tmpl w:val="C292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87E62"/>
    <w:multiLevelType w:val="hybridMultilevel"/>
    <w:tmpl w:val="9616538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5E3AC8"/>
    <w:multiLevelType w:val="hybridMultilevel"/>
    <w:tmpl w:val="CDA275F0"/>
    <w:lvl w:ilvl="0" w:tplc="903E04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92705"/>
    <w:multiLevelType w:val="hybridMultilevel"/>
    <w:tmpl w:val="4EDA9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40C97"/>
    <w:multiLevelType w:val="multilevel"/>
    <w:tmpl w:val="77C8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223A2"/>
    <w:multiLevelType w:val="hybridMultilevel"/>
    <w:tmpl w:val="4F9E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F20B3"/>
    <w:multiLevelType w:val="hybridMultilevel"/>
    <w:tmpl w:val="75166B94"/>
    <w:lvl w:ilvl="0" w:tplc="7CFE9CB4">
      <w:start w:val="1"/>
      <w:numFmt w:val="bullet"/>
      <w:lvlText w:val="•"/>
      <w:lvlJc w:val="left"/>
      <w:pPr>
        <w:tabs>
          <w:tab w:val="num" w:pos="720"/>
        </w:tabs>
        <w:ind w:left="720" w:hanging="360"/>
      </w:pPr>
      <w:rPr>
        <w:rFonts w:ascii="Arial" w:hAnsi="Arial" w:hint="default"/>
      </w:rPr>
    </w:lvl>
    <w:lvl w:ilvl="1" w:tplc="17C2F142" w:tentative="1">
      <w:start w:val="1"/>
      <w:numFmt w:val="bullet"/>
      <w:lvlText w:val="•"/>
      <w:lvlJc w:val="left"/>
      <w:pPr>
        <w:tabs>
          <w:tab w:val="num" w:pos="1440"/>
        </w:tabs>
        <w:ind w:left="1440" w:hanging="360"/>
      </w:pPr>
      <w:rPr>
        <w:rFonts w:ascii="Arial" w:hAnsi="Arial" w:hint="default"/>
      </w:rPr>
    </w:lvl>
    <w:lvl w:ilvl="2" w:tplc="1D06F300" w:tentative="1">
      <w:start w:val="1"/>
      <w:numFmt w:val="bullet"/>
      <w:lvlText w:val="•"/>
      <w:lvlJc w:val="left"/>
      <w:pPr>
        <w:tabs>
          <w:tab w:val="num" w:pos="2160"/>
        </w:tabs>
        <w:ind w:left="2160" w:hanging="360"/>
      </w:pPr>
      <w:rPr>
        <w:rFonts w:ascii="Arial" w:hAnsi="Arial" w:hint="default"/>
      </w:rPr>
    </w:lvl>
    <w:lvl w:ilvl="3" w:tplc="DE0633E8" w:tentative="1">
      <w:start w:val="1"/>
      <w:numFmt w:val="bullet"/>
      <w:lvlText w:val="•"/>
      <w:lvlJc w:val="left"/>
      <w:pPr>
        <w:tabs>
          <w:tab w:val="num" w:pos="2880"/>
        </w:tabs>
        <w:ind w:left="2880" w:hanging="360"/>
      </w:pPr>
      <w:rPr>
        <w:rFonts w:ascii="Arial" w:hAnsi="Arial" w:hint="default"/>
      </w:rPr>
    </w:lvl>
    <w:lvl w:ilvl="4" w:tplc="93524D34" w:tentative="1">
      <w:start w:val="1"/>
      <w:numFmt w:val="bullet"/>
      <w:lvlText w:val="•"/>
      <w:lvlJc w:val="left"/>
      <w:pPr>
        <w:tabs>
          <w:tab w:val="num" w:pos="3600"/>
        </w:tabs>
        <w:ind w:left="3600" w:hanging="360"/>
      </w:pPr>
      <w:rPr>
        <w:rFonts w:ascii="Arial" w:hAnsi="Arial" w:hint="default"/>
      </w:rPr>
    </w:lvl>
    <w:lvl w:ilvl="5" w:tplc="41082CC2" w:tentative="1">
      <w:start w:val="1"/>
      <w:numFmt w:val="bullet"/>
      <w:lvlText w:val="•"/>
      <w:lvlJc w:val="left"/>
      <w:pPr>
        <w:tabs>
          <w:tab w:val="num" w:pos="4320"/>
        </w:tabs>
        <w:ind w:left="4320" w:hanging="360"/>
      </w:pPr>
      <w:rPr>
        <w:rFonts w:ascii="Arial" w:hAnsi="Arial" w:hint="default"/>
      </w:rPr>
    </w:lvl>
    <w:lvl w:ilvl="6" w:tplc="6C2409E4" w:tentative="1">
      <w:start w:val="1"/>
      <w:numFmt w:val="bullet"/>
      <w:lvlText w:val="•"/>
      <w:lvlJc w:val="left"/>
      <w:pPr>
        <w:tabs>
          <w:tab w:val="num" w:pos="5040"/>
        </w:tabs>
        <w:ind w:left="5040" w:hanging="360"/>
      </w:pPr>
      <w:rPr>
        <w:rFonts w:ascii="Arial" w:hAnsi="Arial" w:hint="default"/>
      </w:rPr>
    </w:lvl>
    <w:lvl w:ilvl="7" w:tplc="F51484C0" w:tentative="1">
      <w:start w:val="1"/>
      <w:numFmt w:val="bullet"/>
      <w:lvlText w:val="•"/>
      <w:lvlJc w:val="left"/>
      <w:pPr>
        <w:tabs>
          <w:tab w:val="num" w:pos="5760"/>
        </w:tabs>
        <w:ind w:left="5760" w:hanging="360"/>
      </w:pPr>
      <w:rPr>
        <w:rFonts w:ascii="Arial" w:hAnsi="Arial" w:hint="default"/>
      </w:rPr>
    </w:lvl>
    <w:lvl w:ilvl="8" w:tplc="195C1F8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5"/>
  </w:num>
  <w:num w:numId="4">
    <w:abstractNumId w:val="15"/>
  </w:num>
  <w:num w:numId="5">
    <w:abstractNumId w:val="0"/>
  </w:num>
  <w:num w:numId="6">
    <w:abstractNumId w:val="3"/>
  </w:num>
  <w:num w:numId="7">
    <w:abstractNumId w:val="10"/>
  </w:num>
  <w:num w:numId="8">
    <w:abstractNumId w:val="6"/>
  </w:num>
  <w:num w:numId="9">
    <w:abstractNumId w:val="9"/>
  </w:num>
  <w:num w:numId="10">
    <w:abstractNumId w:val="4"/>
  </w:num>
  <w:num w:numId="11">
    <w:abstractNumId w:val="14"/>
  </w:num>
  <w:num w:numId="12">
    <w:abstractNumId w:val="16"/>
  </w:num>
  <w:num w:numId="13">
    <w:abstractNumId w:val="1"/>
  </w:num>
  <w:num w:numId="14">
    <w:abstractNumId w:val="7"/>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5B"/>
    <w:rsid w:val="00001CB9"/>
    <w:rsid w:val="00001F3A"/>
    <w:rsid w:val="00002888"/>
    <w:rsid w:val="00003B3C"/>
    <w:rsid w:val="00004D73"/>
    <w:rsid w:val="000059C1"/>
    <w:rsid w:val="00010FC9"/>
    <w:rsid w:val="00011BAE"/>
    <w:rsid w:val="000151F5"/>
    <w:rsid w:val="00016299"/>
    <w:rsid w:val="00016A7A"/>
    <w:rsid w:val="00016CFF"/>
    <w:rsid w:val="0002321D"/>
    <w:rsid w:val="00024DC1"/>
    <w:rsid w:val="00025A44"/>
    <w:rsid w:val="000272B0"/>
    <w:rsid w:val="00030A0B"/>
    <w:rsid w:val="00031927"/>
    <w:rsid w:val="00033D43"/>
    <w:rsid w:val="000355A2"/>
    <w:rsid w:val="000360A7"/>
    <w:rsid w:val="00036277"/>
    <w:rsid w:val="00036457"/>
    <w:rsid w:val="000365F8"/>
    <w:rsid w:val="0004088B"/>
    <w:rsid w:val="000410EE"/>
    <w:rsid w:val="0004196B"/>
    <w:rsid w:val="00041B6A"/>
    <w:rsid w:val="000450F4"/>
    <w:rsid w:val="000451CD"/>
    <w:rsid w:val="0004654A"/>
    <w:rsid w:val="000479A7"/>
    <w:rsid w:val="00050587"/>
    <w:rsid w:val="000505DF"/>
    <w:rsid w:val="00050A98"/>
    <w:rsid w:val="000520AF"/>
    <w:rsid w:val="0005341C"/>
    <w:rsid w:val="000535EA"/>
    <w:rsid w:val="000545D8"/>
    <w:rsid w:val="000546B7"/>
    <w:rsid w:val="00060347"/>
    <w:rsid w:val="00060F9D"/>
    <w:rsid w:val="00061727"/>
    <w:rsid w:val="00061849"/>
    <w:rsid w:val="00061A3C"/>
    <w:rsid w:val="0006293B"/>
    <w:rsid w:val="00063658"/>
    <w:rsid w:val="00064897"/>
    <w:rsid w:val="00064A5C"/>
    <w:rsid w:val="0006608B"/>
    <w:rsid w:val="000677AA"/>
    <w:rsid w:val="00071090"/>
    <w:rsid w:val="00072D5C"/>
    <w:rsid w:val="00076D4C"/>
    <w:rsid w:val="0008158B"/>
    <w:rsid w:val="00081812"/>
    <w:rsid w:val="00082A09"/>
    <w:rsid w:val="000842A7"/>
    <w:rsid w:val="000856EE"/>
    <w:rsid w:val="00086FFB"/>
    <w:rsid w:val="0009204F"/>
    <w:rsid w:val="000925B4"/>
    <w:rsid w:val="00092AA1"/>
    <w:rsid w:val="00093525"/>
    <w:rsid w:val="00093587"/>
    <w:rsid w:val="00093CB9"/>
    <w:rsid w:val="00094D59"/>
    <w:rsid w:val="00095266"/>
    <w:rsid w:val="00096ACC"/>
    <w:rsid w:val="000A0B71"/>
    <w:rsid w:val="000A183E"/>
    <w:rsid w:val="000A5467"/>
    <w:rsid w:val="000A75FE"/>
    <w:rsid w:val="000A79C6"/>
    <w:rsid w:val="000A7E03"/>
    <w:rsid w:val="000B0746"/>
    <w:rsid w:val="000B2F76"/>
    <w:rsid w:val="000B4104"/>
    <w:rsid w:val="000B616A"/>
    <w:rsid w:val="000B7806"/>
    <w:rsid w:val="000C3D2C"/>
    <w:rsid w:val="000C433B"/>
    <w:rsid w:val="000C7553"/>
    <w:rsid w:val="000D1B69"/>
    <w:rsid w:val="000D30CF"/>
    <w:rsid w:val="000D3690"/>
    <w:rsid w:val="000D4541"/>
    <w:rsid w:val="000D4BF8"/>
    <w:rsid w:val="000D50DE"/>
    <w:rsid w:val="000D5DFB"/>
    <w:rsid w:val="000D5EB6"/>
    <w:rsid w:val="000D6C33"/>
    <w:rsid w:val="000D6D61"/>
    <w:rsid w:val="000D75DB"/>
    <w:rsid w:val="000D7AC7"/>
    <w:rsid w:val="000E0397"/>
    <w:rsid w:val="000E05E4"/>
    <w:rsid w:val="000E17FD"/>
    <w:rsid w:val="000E2285"/>
    <w:rsid w:val="000E4AEA"/>
    <w:rsid w:val="000E6A4B"/>
    <w:rsid w:val="000F282E"/>
    <w:rsid w:val="000F6080"/>
    <w:rsid w:val="000F763E"/>
    <w:rsid w:val="00102693"/>
    <w:rsid w:val="0010360B"/>
    <w:rsid w:val="00103E32"/>
    <w:rsid w:val="001043F6"/>
    <w:rsid w:val="001069AF"/>
    <w:rsid w:val="001160D6"/>
    <w:rsid w:val="00117FD8"/>
    <w:rsid w:val="00120B66"/>
    <w:rsid w:val="00121D93"/>
    <w:rsid w:val="00121E69"/>
    <w:rsid w:val="001222A7"/>
    <w:rsid w:val="0012538F"/>
    <w:rsid w:val="00125B22"/>
    <w:rsid w:val="00127181"/>
    <w:rsid w:val="00127C21"/>
    <w:rsid w:val="001352E1"/>
    <w:rsid w:val="00141176"/>
    <w:rsid w:val="0014145D"/>
    <w:rsid w:val="00141EA1"/>
    <w:rsid w:val="00142EBB"/>
    <w:rsid w:val="00143685"/>
    <w:rsid w:val="00143F9C"/>
    <w:rsid w:val="00145A75"/>
    <w:rsid w:val="00147E3A"/>
    <w:rsid w:val="00147FE2"/>
    <w:rsid w:val="001527D0"/>
    <w:rsid w:val="00153C55"/>
    <w:rsid w:val="001545B0"/>
    <w:rsid w:val="00155537"/>
    <w:rsid w:val="00157619"/>
    <w:rsid w:val="00157B81"/>
    <w:rsid w:val="00161836"/>
    <w:rsid w:val="00162517"/>
    <w:rsid w:val="00163D99"/>
    <w:rsid w:val="00163ED9"/>
    <w:rsid w:val="00167A19"/>
    <w:rsid w:val="00177E86"/>
    <w:rsid w:val="00181BA9"/>
    <w:rsid w:val="0018418E"/>
    <w:rsid w:val="001844DC"/>
    <w:rsid w:val="00184C7C"/>
    <w:rsid w:val="00187A48"/>
    <w:rsid w:val="001902B3"/>
    <w:rsid w:val="001913A7"/>
    <w:rsid w:val="001914EA"/>
    <w:rsid w:val="001915D4"/>
    <w:rsid w:val="00194FCB"/>
    <w:rsid w:val="0019548B"/>
    <w:rsid w:val="00196813"/>
    <w:rsid w:val="00197509"/>
    <w:rsid w:val="00197B47"/>
    <w:rsid w:val="001A08FF"/>
    <w:rsid w:val="001A0AC4"/>
    <w:rsid w:val="001A1568"/>
    <w:rsid w:val="001A1AAB"/>
    <w:rsid w:val="001A1F2F"/>
    <w:rsid w:val="001A2882"/>
    <w:rsid w:val="001A3522"/>
    <w:rsid w:val="001A5CC4"/>
    <w:rsid w:val="001A6566"/>
    <w:rsid w:val="001B0E8E"/>
    <w:rsid w:val="001B1016"/>
    <w:rsid w:val="001B182C"/>
    <w:rsid w:val="001B1997"/>
    <w:rsid w:val="001B6221"/>
    <w:rsid w:val="001B6D5B"/>
    <w:rsid w:val="001C106B"/>
    <w:rsid w:val="001C1643"/>
    <w:rsid w:val="001C19FC"/>
    <w:rsid w:val="001C3767"/>
    <w:rsid w:val="001C4811"/>
    <w:rsid w:val="001C5486"/>
    <w:rsid w:val="001C565F"/>
    <w:rsid w:val="001C72F3"/>
    <w:rsid w:val="001D678E"/>
    <w:rsid w:val="001D6C45"/>
    <w:rsid w:val="001E04F0"/>
    <w:rsid w:val="001E0999"/>
    <w:rsid w:val="001E1708"/>
    <w:rsid w:val="001E4231"/>
    <w:rsid w:val="001F1788"/>
    <w:rsid w:val="001F21AF"/>
    <w:rsid w:val="001F3C1C"/>
    <w:rsid w:val="001F3D82"/>
    <w:rsid w:val="001F52CC"/>
    <w:rsid w:val="001F564E"/>
    <w:rsid w:val="001F6689"/>
    <w:rsid w:val="002002E9"/>
    <w:rsid w:val="002035B5"/>
    <w:rsid w:val="00205D3C"/>
    <w:rsid w:val="0021053B"/>
    <w:rsid w:val="00210574"/>
    <w:rsid w:val="00212A86"/>
    <w:rsid w:val="0021325D"/>
    <w:rsid w:val="002146CB"/>
    <w:rsid w:val="00215B64"/>
    <w:rsid w:val="00217B54"/>
    <w:rsid w:val="00220235"/>
    <w:rsid w:val="0022023D"/>
    <w:rsid w:val="00220317"/>
    <w:rsid w:val="002215EC"/>
    <w:rsid w:val="00227650"/>
    <w:rsid w:val="002304E5"/>
    <w:rsid w:val="00232218"/>
    <w:rsid w:val="00233748"/>
    <w:rsid w:val="00234265"/>
    <w:rsid w:val="002358A6"/>
    <w:rsid w:val="00236917"/>
    <w:rsid w:val="0024025B"/>
    <w:rsid w:val="0024051B"/>
    <w:rsid w:val="00240DAD"/>
    <w:rsid w:val="00245751"/>
    <w:rsid w:val="00246E49"/>
    <w:rsid w:val="002514DA"/>
    <w:rsid w:val="0025497C"/>
    <w:rsid w:val="00256483"/>
    <w:rsid w:val="00257D23"/>
    <w:rsid w:val="00260EC1"/>
    <w:rsid w:val="00260EC4"/>
    <w:rsid w:val="002610C6"/>
    <w:rsid w:val="00261C9B"/>
    <w:rsid w:val="00262358"/>
    <w:rsid w:val="0026425B"/>
    <w:rsid w:val="00270A90"/>
    <w:rsid w:val="00276611"/>
    <w:rsid w:val="00277AAC"/>
    <w:rsid w:val="00286972"/>
    <w:rsid w:val="002908B7"/>
    <w:rsid w:val="00291357"/>
    <w:rsid w:val="002913EF"/>
    <w:rsid w:val="00293993"/>
    <w:rsid w:val="002945FB"/>
    <w:rsid w:val="00295215"/>
    <w:rsid w:val="00296037"/>
    <w:rsid w:val="0029610E"/>
    <w:rsid w:val="002A1572"/>
    <w:rsid w:val="002A230C"/>
    <w:rsid w:val="002A3167"/>
    <w:rsid w:val="002A40CC"/>
    <w:rsid w:val="002A4217"/>
    <w:rsid w:val="002A4A0B"/>
    <w:rsid w:val="002B101B"/>
    <w:rsid w:val="002B1613"/>
    <w:rsid w:val="002B2EDE"/>
    <w:rsid w:val="002B466D"/>
    <w:rsid w:val="002B5C9E"/>
    <w:rsid w:val="002C35A9"/>
    <w:rsid w:val="002C51C5"/>
    <w:rsid w:val="002C60A0"/>
    <w:rsid w:val="002C79DD"/>
    <w:rsid w:val="002D01DF"/>
    <w:rsid w:val="002D4EB4"/>
    <w:rsid w:val="002D562A"/>
    <w:rsid w:val="002D7590"/>
    <w:rsid w:val="002D78C6"/>
    <w:rsid w:val="002D7DD5"/>
    <w:rsid w:val="002E0C6C"/>
    <w:rsid w:val="002E0E8B"/>
    <w:rsid w:val="002E709F"/>
    <w:rsid w:val="002F0A65"/>
    <w:rsid w:val="002F43A3"/>
    <w:rsid w:val="002F4EF9"/>
    <w:rsid w:val="002F64B7"/>
    <w:rsid w:val="002F750D"/>
    <w:rsid w:val="002F784A"/>
    <w:rsid w:val="00301F12"/>
    <w:rsid w:val="0030220B"/>
    <w:rsid w:val="00302A29"/>
    <w:rsid w:val="00305804"/>
    <w:rsid w:val="00306584"/>
    <w:rsid w:val="00310545"/>
    <w:rsid w:val="003115E5"/>
    <w:rsid w:val="00314383"/>
    <w:rsid w:val="003143CD"/>
    <w:rsid w:val="00317169"/>
    <w:rsid w:val="00317232"/>
    <w:rsid w:val="00324275"/>
    <w:rsid w:val="00324336"/>
    <w:rsid w:val="003269DF"/>
    <w:rsid w:val="00326AEF"/>
    <w:rsid w:val="0033059D"/>
    <w:rsid w:val="003349DC"/>
    <w:rsid w:val="003372FF"/>
    <w:rsid w:val="00340623"/>
    <w:rsid w:val="00341FB1"/>
    <w:rsid w:val="00342B02"/>
    <w:rsid w:val="003435B3"/>
    <w:rsid w:val="003451B8"/>
    <w:rsid w:val="003454DE"/>
    <w:rsid w:val="00345E81"/>
    <w:rsid w:val="00346FAD"/>
    <w:rsid w:val="0035432A"/>
    <w:rsid w:val="003575DD"/>
    <w:rsid w:val="00357968"/>
    <w:rsid w:val="00365629"/>
    <w:rsid w:val="00370590"/>
    <w:rsid w:val="00370D47"/>
    <w:rsid w:val="00372A58"/>
    <w:rsid w:val="00374480"/>
    <w:rsid w:val="0037461A"/>
    <w:rsid w:val="00375C70"/>
    <w:rsid w:val="0038188C"/>
    <w:rsid w:val="00381EE5"/>
    <w:rsid w:val="003842E0"/>
    <w:rsid w:val="00385453"/>
    <w:rsid w:val="00386317"/>
    <w:rsid w:val="0039176C"/>
    <w:rsid w:val="003956DC"/>
    <w:rsid w:val="00395D32"/>
    <w:rsid w:val="003978FD"/>
    <w:rsid w:val="00397B7F"/>
    <w:rsid w:val="003A3C77"/>
    <w:rsid w:val="003A402A"/>
    <w:rsid w:val="003A4D8C"/>
    <w:rsid w:val="003A55CD"/>
    <w:rsid w:val="003A673F"/>
    <w:rsid w:val="003B06C5"/>
    <w:rsid w:val="003B0C47"/>
    <w:rsid w:val="003B0F3A"/>
    <w:rsid w:val="003B6F80"/>
    <w:rsid w:val="003B765D"/>
    <w:rsid w:val="003C1A47"/>
    <w:rsid w:val="003C30BC"/>
    <w:rsid w:val="003C3482"/>
    <w:rsid w:val="003C408E"/>
    <w:rsid w:val="003C67F8"/>
    <w:rsid w:val="003C704A"/>
    <w:rsid w:val="003C7452"/>
    <w:rsid w:val="003C772F"/>
    <w:rsid w:val="003D06BA"/>
    <w:rsid w:val="003D0D08"/>
    <w:rsid w:val="003D34A1"/>
    <w:rsid w:val="003D5370"/>
    <w:rsid w:val="003D61DC"/>
    <w:rsid w:val="003D66DD"/>
    <w:rsid w:val="003E0DF1"/>
    <w:rsid w:val="003E4A6E"/>
    <w:rsid w:val="003E6337"/>
    <w:rsid w:val="003E67E2"/>
    <w:rsid w:val="003E6C3B"/>
    <w:rsid w:val="003F20FA"/>
    <w:rsid w:val="003F329A"/>
    <w:rsid w:val="003F74ED"/>
    <w:rsid w:val="00403604"/>
    <w:rsid w:val="00405734"/>
    <w:rsid w:val="00405FC1"/>
    <w:rsid w:val="00407F1C"/>
    <w:rsid w:val="004100D5"/>
    <w:rsid w:val="00410E65"/>
    <w:rsid w:val="0041560E"/>
    <w:rsid w:val="0041691F"/>
    <w:rsid w:val="004212CA"/>
    <w:rsid w:val="0042132C"/>
    <w:rsid w:val="00421EE9"/>
    <w:rsid w:val="0042255B"/>
    <w:rsid w:val="004262C1"/>
    <w:rsid w:val="0043122C"/>
    <w:rsid w:val="004317E2"/>
    <w:rsid w:val="00431967"/>
    <w:rsid w:val="00435220"/>
    <w:rsid w:val="00435A50"/>
    <w:rsid w:val="0043640E"/>
    <w:rsid w:val="004369CC"/>
    <w:rsid w:val="00441EBB"/>
    <w:rsid w:val="004427C5"/>
    <w:rsid w:val="0044332C"/>
    <w:rsid w:val="0044697C"/>
    <w:rsid w:val="00453AB5"/>
    <w:rsid w:val="00453B88"/>
    <w:rsid w:val="00457868"/>
    <w:rsid w:val="00457D96"/>
    <w:rsid w:val="00462892"/>
    <w:rsid w:val="00462A7D"/>
    <w:rsid w:val="0046325A"/>
    <w:rsid w:val="00464CD8"/>
    <w:rsid w:val="00465336"/>
    <w:rsid w:val="00465CF0"/>
    <w:rsid w:val="004670A1"/>
    <w:rsid w:val="004672F4"/>
    <w:rsid w:val="00470550"/>
    <w:rsid w:val="00473C18"/>
    <w:rsid w:val="00474D54"/>
    <w:rsid w:val="004751F5"/>
    <w:rsid w:val="00475B0D"/>
    <w:rsid w:val="004778B1"/>
    <w:rsid w:val="00480567"/>
    <w:rsid w:val="004824EA"/>
    <w:rsid w:val="00483A59"/>
    <w:rsid w:val="0048731D"/>
    <w:rsid w:val="00491F98"/>
    <w:rsid w:val="0049295F"/>
    <w:rsid w:val="00492EA6"/>
    <w:rsid w:val="0049428A"/>
    <w:rsid w:val="00495FB6"/>
    <w:rsid w:val="00496A3F"/>
    <w:rsid w:val="00496ACF"/>
    <w:rsid w:val="004A176B"/>
    <w:rsid w:val="004A3018"/>
    <w:rsid w:val="004A5F58"/>
    <w:rsid w:val="004B176C"/>
    <w:rsid w:val="004B233F"/>
    <w:rsid w:val="004B2C34"/>
    <w:rsid w:val="004B3A04"/>
    <w:rsid w:val="004B63B5"/>
    <w:rsid w:val="004C0C03"/>
    <w:rsid w:val="004C1B23"/>
    <w:rsid w:val="004C5ED2"/>
    <w:rsid w:val="004C767A"/>
    <w:rsid w:val="004D36BB"/>
    <w:rsid w:val="004D5AAD"/>
    <w:rsid w:val="004D6BC1"/>
    <w:rsid w:val="004E0FB3"/>
    <w:rsid w:val="004E1C42"/>
    <w:rsid w:val="004E3168"/>
    <w:rsid w:val="004E40C0"/>
    <w:rsid w:val="004E6F9F"/>
    <w:rsid w:val="004F0C79"/>
    <w:rsid w:val="004F5AD8"/>
    <w:rsid w:val="004F70B3"/>
    <w:rsid w:val="004F7971"/>
    <w:rsid w:val="004F7B59"/>
    <w:rsid w:val="0050062F"/>
    <w:rsid w:val="0050305C"/>
    <w:rsid w:val="005030A7"/>
    <w:rsid w:val="00504669"/>
    <w:rsid w:val="00505EC9"/>
    <w:rsid w:val="00506106"/>
    <w:rsid w:val="00507F93"/>
    <w:rsid w:val="005131CC"/>
    <w:rsid w:val="0051417D"/>
    <w:rsid w:val="00514BBA"/>
    <w:rsid w:val="00515591"/>
    <w:rsid w:val="00515BE6"/>
    <w:rsid w:val="00515F51"/>
    <w:rsid w:val="00516171"/>
    <w:rsid w:val="0051674B"/>
    <w:rsid w:val="00516EEB"/>
    <w:rsid w:val="00520285"/>
    <w:rsid w:val="0052371C"/>
    <w:rsid w:val="0052667E"/>
    <w:rsid w:val="00530069"/>
    <w:rsid w:val="00533811"/>
    <w:rsid w:val="0053654D"/>
    <w:rsid w:val="005365F2"/>
    <w:rsid w:val="005366FA"/>
    <w:rsid w:val="00541C6A"/>
    <w:rsid w:val="00544AF2"/>
    <w:rsid w:val="0054601B"/>
    <w:rsid w:val="00546375"/>
    <w:rsid w:val="00546684"/>
    <w:rsid w:val="00547663"/>
    <w:rsid w:val="005509B5"/>
    <w:rsid w:val="00550A75"/>
    <w:rsid w:val="00551647"/>
    <w:rsid w:val="00551D37"/>
    <w:rsid w:val="0055212B"/>
    <w:rsid w:val="00553341"/>
    <w:rsid w:val="005537FC"/>
    <w:rsid w:val="00553FC0"/>
    <w:rsid w:val="005547DB"/>
    <w:rsid w:val="00555CC0"/>
    <w:rsid w:val="00556BF5"/>
    <w:rsid w:val="0055722E"/>
    <w:rsid w:val="005610A3"/>
    <w:rsid w:val="00561252"/>
    <w:rsid w:val="00561F44"/>
    <w:rsid w:val="00562DF4"/>
    <w:rsid w:val="00565BA9"/>
    <w:rsid w:val="00565DCA"/>
    <w:rsid w:val="005711D4"/>
    <w:rsid w:val="005717FD"/>
    <w:rsid w:val="00571F1D"/>
    <w:rsid w:val="00574990"/>
    <w:rsid w:val="00575246"/>
    <w:rsid w:val="00575921"/>
    <w:rsid w:val="00575FB0"/>
    <w:rsid w:val="00582E07"/>
    <w:rsid w:val="005837FE"/>
    <w:rsid w:val="00584637"/>
    <w:rsid w:val="00585A81"/>
    <w:rsid w:val="0059146F"/>
    <w:rsid w:val="005924C2"/>
    <w:rsid w:val="00592841"/>
    <w:rsid w:val="005938FA"/>
    <w:rsid w:val="00593DC7"/>
    <w:rsid w:val="00594529"/>
    <w:rsid w:val="005976E9"/>
    <w:rsid w:val="005A22DB"/>
    <w:rsid w:val="005A2DE6"/>
    <w:rsid w:val="005A3990"/>
    <w:rsid w:val="005A6110"/>
    <w:rsid w:val="005A78ED"/>
    <w:rsid w:val="005A7A6C"/>
    <w:rsid w:val="005A7FE2"/>
    <w:rsid w:val="005B48DD"/>
    <w:rsid w:val="005B4CA9"/>
    <w:rsid w:val="005B4CAE"/>
    <w:rsid w:val="005B5176"/>
    <w:rsid w:val="005B61C7"/>
    <w:rsid w:val="005C0051"/>
    <w:rsid w:val="005C2160"/>
    <w:rsid w:val="005C29F4"/>
    <w:rsid w:val="005C480E"/>
    <w:rsid w:val="005C4D9B"/>
    <w:rsid w:val="005C63ED"/>
    <w:rsid w:val="005C6CAF"/>
    <w:rsid w:val="005D6057"/>
    <w:rsid w:val="005D7D54"/>
    <w:rsid w:val="005E145E"/>
    <w:rsid w:val="005E22BE"/>
    <w:rsid w:val="005E32DF"/>
    <w:rsid w:val="005E46C6"/>
    <w:rsid w:val="005E58AF"/>
    <w:rsid w:val="005F237F"/>
    <w:rsid w:val="00600485"/>
    <w:rsid w:val="00601F84"/>
    <w:rsid w:val="00602810"/>
    <w:rsid w:val="00604CE1"/>
    <w:rsid w:val="006057FB"/>
    <w:rsid w:val="00606DE5"/>
    <w:rsid w:val="0061504A"/>
    <w:rsid w:val="006173C4"/>
    <w:rsid w:val="00621700"/>
    <w:rsid w:val="00624B3A"/>
    <w:rsid w:val="0062541B"/>
    <w:rsid w:val="00626F3C"/>
    <w:rsid w:val="006272EB"/>
    <w:rsid w:val="006301F8"/>
    <w:rsid w:val="0063119A"/>
    <w:rsid w:val="00631455"/>
    <w:rsid w:val="0063450D"/>
    <w:rsid w:val="00634D87"/>
    <w:rsid w:val="00634F90"/>
    <w:rsid w:val="00635499"/>
    <w:rsid w:val="006358FE"/>
    <w:rsid w:val="00636418"/>
    <w:rsid w:val="00642CA0"/>
    <w:rsid w:val="00642EC8"/>
    <w:rsid w:val="0064478C"/>
    <w:rsid w:val="0064501C"/>
    <w:rsid w:val="0064535F"/>
    <w:rsid w:val="00652B7C"/>
    <w:rsid w:val="00653907"/>
    <w:rsid w:val="00653AA2"/>
    <w:rsid w:val="0066448A"/>
    <w:rsid w:val="00664DC9"/>
    <w:rsid w:val="00666320"/>
    <w:rsid w:val="0066711B"/>
    <w:rsid w:val="0067510D"/>
    <w:rsid w:val="0068096D"/>
    <w:rsid w:val="00682473"/>
    <w:rsid w:val="0068371A"/>
    <w:rsid w:val="0068461F"/>
    <w:rsid w:val="00684E59"/>
    <w:rsid w:val="00685B31"/>
    <w:rsid w:val="00685FF5"/>
    <w:rsid w:val="00691309"/>
    <w:rsid w:val="0069227B"/>
    <w:rsid w:val="00694929"/>
    <w:rsid w:val="00696A71"/>
    <w:rsid w:val="00696DC9"/>
    <w:rsid w:val="006A2A32"/>
    <w:rsid w:val="006A34A8"/>
    <w:rsid w:val="006A42B3"/>
    <w:rsid w:val="006A6F58"/>
    <w:rsid w:val="006A7030"/>
    <w:rsid w:val="006B04F4"/>
    <w:rsid w:val="006B1012"/>
    <w:rsid w:val="006B1229"/>
    <w:rsid w:val="006B2859"/>
    <w:rsid w:val="006B2F7B"/>
    <w:rsid w:val="006B30F2"/>
    <w:rsid w:val="006C2161"/>
    <w:rsid w:val="006C3A6F"/>
    <w:rsid w:val="006C46BA"/>
    <w:rsid w:val="006D415F"/>
    <w:rsid w:val="006D49E3"/>
    <w:rsid w:val="006D5604"/>
    <w:rsid w:val="006D5D23"/>
    <w:rsid w:val="006D6DC0"/>
    <w:rsid w:val="006E0254"/>
    <w:rsid w:val="006E37EA"/>
    <w:rsid w:val="006E5630"/>
    <w:rsid w:val="006E7FF5"/>
    <w:rsid w:val="006F059D"/>
    <w:rsid w:val="006F123D"/>
    <w:rsid w:val="006F2ADD"/>
    <w:rsid w:val="006F5EAF"/>
    <w:rsid w:val="0070174D"/>
    <w:rsid w:val="00701FEF"/>
    <w:rsid w:val="00704880"/>
    <w:rsid w:val="00706036"/>
    <w:rsid w:val="007066DA"/>
    <w:rsid w:val="0071142E"/>
    <w:rsid w:val="00713B72"/>
    <w:rsid w:val="0072565C"/>
    <w:rsid w:val="007259B2"/>
    <w:rsid w:val="00725ADD"/>
    <w:rsid w:val="00733AE5"/>
    <w:rsid w:val="00741B89"/>
    <w:rsid w:val="00742371"/>
    <w:rsid w:val="0074586E"/>
    <w:rsid w:val="00746627"/>
    <w:rsid w:val="0074730D"/>
    <w:rsid w:val="00750F5A"/>
    <w:rsid w:val="00751956"/>
    <w:rsid w:val="00754A8E"/>
    <w:rsid w:val="00757832"/>
    <w:rsid w:val="00762D45"/>
    <w:rsid w:val="00762E44"/>
    <w:rsid w:val="00763414"/>
    <w:rsid w:val="0076435E"/>
    <w:rsid w:val="00770E30"/>
    <w:rsid w:val="00771615"/>
    <w:rsid w:val="00771B8C"/>
    <w:rsid w:val="00775067"/>
    <w:rsid w:val="0077592F"/>
    <w:rsid w:val="00775BDA"/>
    <w:rsid w:val="007761FA"/>
    <w:rsid w:val="00776F45"/>
    <w:rsid w:val="007773BB"/>
    <w:rsid w:val="0078025D"/>
    <w:rsid w:val="00782FFB"/>
    <w:rsid w:val="007910F1"/>
    <w:rsid w:val="00797E67"/>
    <w:rsid w:val="007A00BB"/>
    <w:rsid w:val="007A1F38"/>
    <w:rsid w:val="007A249C"/>
    <w:rsid w:val="007A3AB7"/>
    <w:rsid w:val="007A445C"/>
    <w:rsid w:val="007A7387"/>
    <w:rsid w:val="007B0F9F"/>
    <w:rsid w:val="007B2168"/>
    <w:rsid w:val="007B31E7"/>
    <w:rsid w:val="007B6013"/>
    <w:rsid w:val="007B68EC"/>
    <w:rsid w:val="007B7380"/>
    <w:rsid w:val="007C0ED5"/>
    <w:rsid w:val="007C1C0F"/>
    <w:rsid w:val="007C5AFD"/>
    <w:rsid w:val="007D28D9"/>
    <w:rsid w:val="007D34D1"/>
    <w:rsid w:val="007D5AC7"/>
    <w:rsid w:val="007E12DA"/>
    <w:rsid w:val="007E168D"/>
    <w:rsid w:val="007E1904"/>
    <w:rsid w:val="007E288E"/>
    <w:rsid w:val="007E2E37"/>
    <w:rsid w:val="007E330D"/>
    <w:rsid w:val="007E4AD6"/>
    <w:rsid w:val="007E4FB4"/>
    <w:rsid w:val="007F1043"/>
    <w:rsid w:val="007F2FE5"/>
    <w:rsid w:val="007F4DDE"/>
    <w:rsid w:val="007F4F71"/>
    <w:rsid w:val="007F57A8"/>
    <w:rsid w:val="007F6619"/>
    <w:rsid w:val="00802C3C"/>
    <w:rsid w:val="00802DA4"/>
    <w:rsid w:val="00802FCE"/>
    <w:rsid w:val="008036BB"/>
    <w:rsid w:val="00804455"/>
    <w:rsid w:val="00805DCE"/>
    <w:rsid w:val="0080683D"/>
    <w:rsid w:val="008071C7"/>
    <w:rsid w:val="008074B3"/>
    <w:rsid w:val="00810B93"/>
    <w:rsid w:val="00814FB2"/>
    <w:rsid w:val="008250AF"/>
    <w:rsid w:val="008272C2"/>
    <w:rsid w:val="008300E6"/>
    <w:rsid w:val="00830A75"/>
    <w:rsid w:val="00832AD5"/>
    <w:rsid w:val="0083404C"/>
    <w:rsid w:val="0083469C"/>
    <w:rsid w:val="0084021F"/>
    <w:rsid w:val="00841891"/>
    <w:rsid w:val="0084552E"/>
    <w:rsid w:val="008468C8"/>
    <w:rsid w:val="0085025B"/>
    <w:rsid w:val="00851AD0"/>
    <w:rsid w:val="00853C2E"/>
    <w:rsid w:val="0085418C"/>
    <w:rsid w:val="00854CFE"/>
    <w:rsid w:val="008556AE"/>
    <w:rsid w:val="00860AEE"/>
    <w:rsid w:val="00861800"/>
    <w:rsid w:val="00863036"/>
    <w:rsid w:val="008639B3"/>
    <w:rsid w:val="008651C1"/>
    <w:rsid w:val="00865628"/>
    <w:rsid w:val="008718E0"/>
    <w:rsid w:val="00871CBF"/>
    <w:rsid w:val="00872EC4"/>
    <w:rsid w:val="00874B08"/>
    <w:rsid w:val="008766DF"/>
    <w:rsid w:val="008775DA"/>
    <w:rsid w:val="0087792C"/>
    <w:rsid w:val="008854E1"/>
    <w:rsid w:val="00885AB2"/>
    <w:rsid w:val="0088772C"/>
    <w:rsid w:val="00887BDB"/>
    <w:rsid w:val="00890CE2"/>
    <w:rsid w:val="008914CB"/>
    <w:rsid w:val="00892185"/>
    <w:rsid w:val="0089369C"/>
    <w:rsid w:val="00893CA3"/>
    <w:rsid w:val="0089616D"/>
    <w:rsid w:val="00897F59"/>
    <w:rsid w:val="008A25FE"/>
    <w:rsid w:val="008B0AF7"/>
    <w:rsid w:val="008B1A50"/>
    <w:rsid w:val="008B1B54"/>
    <w:rsid w:val="008B3589"/>
    <w:rsid w:val="008B35F6"/>
    <w:rsid w:val="008B37D7"/>
    <w:rsid w:val="008C05A2"/>
    <w:rsid w:val="008C25ED"/>
    <w:rsid w:val="008C2CF5"/>
    <w:rsid w:val="008D03EA"/>
    <w:rsid w:val="008D1832"/>
    <w:rsid w:val="008D29F4"/>
    <w:rsid w:val="008D2E89"/>
    <w:rsid w:val="008D33DD"/>
    <w:rsid w:val="008D357C"/>
    <w:rsid w:val="008D391D"/>
    <w:rsid w:val="008D5E96"/>
    <w:rsid w:val="008D624F"/>
    <w:rsid w:val="008E1431"/>
    <w:rsid w:val="008E1DC9"/>
    <w:rsid w:val="008E2668"/>
    <w:rsid w:val="008E2C7E"/>
    <w:rsid w:val="008E3F1F"/>
    <w:rsid w:val="008E4EED"/>
    <w:rsid w:val="008E5540"/>
    <w:rsid w:val="008E5D3B"/>
    <w:rsid w:val="008E6266"/>
    <w:rsid w:val="008E7426"/>
    <w:rsid w:val="008F4E3B"/>
    <w:rsid w:val="008F4F75"/>
    <w:rsid w:val="008F5BD3"/>
    <w:rsid w:val="008F7062"/>
    <w:rsid w:val="00905ACA"/>
    <w:rsid w:val="009109B1"/>
    <w:rsid w:val="00911D3E"/>
    <w:rsid w:val="00912BF7"/>
    <w:rsid w:val="00922B12"/>
    <w:rsid w:val="0092312C"/>
    <w:rsid w:val="0093117E"/>
    <w:rsid w:val="00931A5F"/>
    <w:rsid w:val="00933292"/>
    <w:rsid w:val="00935ED0"/>
    <w:rsid w:val="00937354"/>
    <w:rsid w:val="00940FC2"/>
    <w:rsid w:val="009432D8"/>
    <w:rsid w:val="0094435C"/>
    <w:rsid w:val="0095441D"/>
    <w:rsid w:val="00954FA8"/>
    <w:rsid w:val="00955337"/>
    <w:rsid w:val="00955CAD"/>
    <w:rsid w:val="00961352"/>
    <w:rsid w:val="00966935"/>
    <w:rsid w:val="009707D2"/>
    <w:rsid w:val="00971EE9"/>
    <w:rsid w:val="009757B8"/>
    <w:rsid w:val="009758AD"/>
    <w:rsid w:val="00975AF1"/>
    <w:rsid w:val="00976C6C"/>
    <w:rsid w:val="00977011"/>
    <w:rsid w:val="00980CE7"/>
    <w:rsid w:val="009839DD"/>
    <w:rsid w:val="00983E71"/>
    <w:rsid w:val="00985302"/>
    <w:rsid w:val="009857DA"/>
    <w:rsid w:val="00986CCA"/>
    <w:rsid w:val="00994403"/>
    <w:rsid w:val="0099786C"/>
    <w:rsid w:val="009A51B7"/>
    <w:rsid w:val="009A634A"/>
    <w:rsid w:val="009A77B1"/>
    <w:rsid w:val="009B1ED0"/>
    <w:rsid w:val="009B1F9C"/>
    <w:rsid w:val="009B1FF2"/>
    <w:rsid w:val="009B3F9B"/>
    <w:rsid w:val="009B404A"/>
    <w:rsid w:val="009B6C34"/>
    <w:rsid w:val="009B7B5D"/>
    <w:rsid w:val="009C0E3F"/>
    <w:rsid w:val="009C21B0"/>
    <w:rsid w:val="009C2AAD"/>
    <w:rsid w:val="009D352A"/>
    <w:rsid w:val="009D3BC7"/>
    <w:rsid w:val="009D4440"/>
    <w:rsid w:val="009D48C2"/>
    <w:rsid w:val="009D5B59"/>
    <w:rsid w:val="009E10F0"/>
    <w:rsid w:val="009E1D0C"/>
    <w:rsid w:val="009E2F94"/>
    <w:rsid w:val="009E4691"/>
    <w:rsid w:val="009E5B97"/>
    <w:rsid w:val="009F0F37"/>
    <w:rsid w:val="009F4081"/>
    <w:rsid w:val="009F64D7"/>
    <w:rsid w:val="00A010F1"/>
    <w:rsid w:val="00A0130D"/>
    <w:rsid w:val="00A03939"/>
    <w:rsid w:val="00A03B24"/>
    <w:rsid w:val="00A0422C"/>
    <w:rsid w:val="00A0478D"/>
    <w:rsid w:val="00A103A2"/>
    <w:rsid w:val="00A108E7"/>
    <w:rsid w:val="00A1303F"/>
    <w:rsid w:val="00A15B04"/>
    <w:rsid w:val="00A17D11"/>
    <w:rsid w:val="00A2115A"/>
    <w:rsid w:val="00A237F2"/>
    <w:rsid w:val="00A2410E"/>
    <w:rsid w:val="00A26902"/>
    <w:rsid w:val="00A27405"/>
    <w:rsid w:val="00A33B15"/>
    <w:rsid w:val="00A36456"/>
    <w:rsid w:val="00A373F2"/>
    <w:rsid w:val="00A4445E"/>
    <w:rsid w:val="00A45A2B"/>
    <w:rsid w:val="00A46053"/>
    <w:rsid w:val="00A53EEE"/>
    <w:rsid w:val="00A5486B"/>
    <w:rsid w:val="00A56FFA"/>
    <w:rsid w:val="00A60FB7"/>
    <w:rsid w:val="00A62CDA"/>
    <w:rsid w:val="00A643ED"/>
    <w:rsid w:val="00A64F88"/>
    <w:rsid w:val="00A65F78"/>
    <w:rsid w:val="00A67950"/>
    <w:rsid w:val="00A67A06"/>
    <w:rsid w:val="00A67A72"/>
    <w:rsid w:val="00A725C7"/>
    <w:rsid w:val="00A7560A"/>
    <w:rsid w:val="00A76038"/>
    <w:rsid w:val="00A80A47"/>
    <w:rsid w:val="00A83ED6"/>
    <w:rsid w:val="00A87CEB"/>
    <w:rsid w:val="00A90AD9"/>
    <w:rsid w:val="00A9162D"/>
    <w:rsid w:val="00A91A26"/>
    <w:rsid w:val="00A9496C"/>
    <w:rsid w:val="00A94AF5"/>
    <w:rsid w:val="00A96661"/>
    <w:rsid w:val="00A96A19"/>
    <w:rsid w:val="00A97B33"/>
    <w:rsid w:val="00AA1965"/>
    <w:rsid w:val="00AA1BA8"/>
    <w:rsid w:val="00AA2995"/>
    <w:rsid w:val="00AA3BCE"/>
    <w:rsid w:val="00AA4501"/>
    <w:rsid w:val="00AA48D5"/>
    <w:rsid w:val="00AA5804"/>
    <w:rsid w:val="00AA5906"/>
    <w:rsid w:val="00AA5D70"/>
    <w:rsid w:val="00AA5D96"/>
    <w:rsid w:val="00AA6379"/>
    <w:rsid w:val="00AA651D"/>
    <w:rsid w:val="00AB0CA8"/>
    <w:rsid w:val="00AB3F34"/>
    <w:rsid w:val="00AB4BEB"/>
    <w:rsid w:val="00AB6C80"/>
    <w:rsid w:val="00AB72C8"/>
    <w:rsid w:val="00AB7675"/>
    <w:rsid w:val="00AC2207"/>
    <w:rsid w:val="00AC2D9C"/>
    <w:rsid w:val="00AC2E6A"/>
    <w:rsid w:val="00AC5CEC"/>
    <w:rsid w:val="00AC78E7"/>
    <w:rsid w:val="00AD0348"/>
    <w:rsid w:val="00AD28BE"/>
    <w:rsid w:val="00AD328F"/>
    <w:rsid w:val="00AD442B"/>
    <w:rsid w:val="00AD6219"/>
    <w:rsid w:val="00AD6FF7"/>
    <w:rsid w:val="00AE0FC2"/>
    <w:rsid w:val="00AE7593"/>
    <w:rsid w:val="00AF11F1"/>
    <w:rsid w:val="00AF2484"/>
    <w:rsid w:val="00AF33E9"/>
    <w:rsid w:val="00AF43CC"/>
    <w:rsid w:val="00AF78F3"/>
    <w:rsid w:val="00B01A68"/>
    <w:rsid w:val="00B02768"/>
    <w:rsid w:val="00B03298"/>
    <w:rsid w:val="00B039AC"/>
    <w:rsid w:val="00B05A38"/>
    <w:rsid w:val="00B07A70"/>
    <w:rsid w:val="00B07E7C"/>
    <w:rsid w:val="00B114D8"/>
    <w:rsid w:val="00B12D15"/>
    <w:rsid w:val="00B15262"/>
    <w:rsid w:val="00B15350"/>
    <w:rsid w:val="00B15ACA"/>
    <w:rsid w:val="00B2027E"/>
    <w:rsid w:val="00B20703"/>
    <w:rsid w:val="00B208A3"/>
    <w:rsid w:val="00B21F68"/>
    <w:rsid w:val="00B230D0"/>
    <w:rsid w:val="00B26423"/>
    <w:rsid w:val="00B30D44"/>
    <w:rsid w:val="00B31571"/>
    <w:rsid w:val="00B3211D"/>
    <w:rsid w:val="00B348D8"/>
    <w:rsid w:val="00B35A84"/>
    <w:rsid w:val="00B37048"/>
    <w:rsid w:val="00B41BA0"/>
    <w:rsid w:val="00B41D71"/>
    <w:rsid w:val="00B4202A"/>
    <w:rsid w:val="00B42A9E"/>
    <w:rsid w:val="00B4456B"/>
    <w:rsid w:val="00B46420"/>
    <w:rsid w:val="00B467CB"/>
    <w:rsid w:val="00B47F37"/>
    <w:rsid w:val="00B51722"/>
    <w:rsid w:val="00B53002"/>
    <w:rsid w:val="00B5334E"/>
    <w:rsid w:val="00B566AE"/>
    <w:rsid w:val="00B57C16"/>
    <w:rsid w:val="00B63C7F"/>
    <w:rsid w:val="00B6578C"/>
    <w:rsid w:val="00B66166"/>
    <w:rsid w:val="00B70804"/>
    <w:rsid w:val="00B76810"/>
    <w:rsid w:val="00B82776"/>
    <w:rsid w:val="00B830F7"/>
    <w:rsid w:val="00B857BB"/>
    <w:rsid w:val="00B86117"/>
    <w:rsid w:val="00B86DAE"/>
    <w:rsid w:val="00B9036D"/>
    <w:rsid w:val="00B91677"/>
    <w:rsid w:val="00B92662"/>
    <w:rsid w:val="00B933B3"/>
    <w:rsid w:val="00B93AE9"/>
    <w:rsid w:val="00B942AB"/>
    <w:rsid w:val="00B96EDD"/>
    <w:rsid w:val="00BA4EF7"/>
    <w:rsid w:val="00BA7508"/>
    <w:rsid w:val="00BB0B4C"/>
    <w:rsid w:val="00BB19A5"/>
    <w:rsid w:val="00BB3147"/>
    <w:rsid w:val="00BB3F64"/>
    <w:rsid w:val="00BB43A0"/>
    <w:rsid w:val="00BB5C3A"/>
    <w:rsid w:val="00BB609C"/>
    <w:rsid w:val="00BB78C3"/>
    <w:rsid w:val="00BC1460"/>
    <w:rsid w:val="00BC19E1"/>
    <w:rsid w:val="00BC359F"/>
    <w:rsid w:val="00BC3710"/>
    <w:rsid w:val="00BC3935"/>
    <w:rsid w:val="00BC628E"/>
    <w:rsid w:val="00BD39A2"/>
    <w:rsid w:val="00BD431A"/>
    <w:rsid w:val="00BE6800"/>
    <w:rsid w:val="00BF02A2"/>
    <w:rsid w:val="00BF45E1"/>
    <w:rsid w:val="00BF4910"/>
    <w:rsid w:val="00BF49BD"/>
    <w:rsid w:val="00BF592B"/>
    <w:rsid w:val="00BF5958"/>
    <w:rsid w:val="00BF5A68"/>
    <w:rsid w:val="00BF5B97"/>
    <w:rsid w:val="00BF6E8B"/>
    <w:rsid w:val="00C00400"/>
    <w:rsid w:val="00C0114C"/>
    <w:rsid w:val="00C015CA"/>
    <w:rsid w:val="00C0210E"/>
    <w:rsid w:val="00C02C81"/>
    <w:rsid w:val="00C041C9"/>
    <w:rsid w:val="00C042B2"/>
    <w:rsid w:val="00C048B0"/>
    <w:rsid w:val="00C055F4"/>
    <w:rsid w:val="00C1032A"/>
    <w:rsid w:val="00C10407"/>
    <w:rsid w:val="00C11181"/>
    <w:rsid w:val="00C119B4"/>
    <w:rsid w:val="00C12579"/>
    <w:rsid w:val="00C128BD"/>
    <w:rsid w:val="00C159D3"/>
    <w:rsid w:val="00C17CF1"/>
    <w:rsid w:val="00C20104"/>
    <w:rsid w:val="00C23FB4"/>
    <w:rsid w:val="00C356D3"/>
    <w:rsid w:val="00C35D55"/>
    <w:rsid w:val="00C36C34"/>
    <w:rsid w:val="00C37C0F"/>
    <w:rsid w:val="00C4044F"/>
    <w:rsid w:val="00C41AA6"/>
    <w:rsid w:val="00C44E09"/>
    <w:rsid w:val="00C46F50"/>
    <w:rsid w:val="00C50DBE"/>
    <w:rsid w:val="00C56518"/>
    <w:rsid w:val="00C614A3"/>
    <w:rsid w:val="00C63481"/>
    <w:rsid w:val="00C66170"/>
    <w:rsid w:val="00C670B3"/>
    <w:rsid w:val="00C679C0"/>
    <w:rsid w:val="00C7046E"/>
    <w:rsid w:val="00C75189"/>
    <w:rsid w:val="00C755AE"/>
    <w:rsid w:val="00C80B99"/>
    <w:rsid w:val="00C818BC"/>
    <w:rsid w:val="00C83EA2"/>
    <w:rsid w:val="00C854D0"/>
    <w:rsid w:val="00C85ED1"/>
    <w:rsid w:val="00C87693"/>
    <w:rsid w:val="00C90E79"/>
    <w:rsid w:val="00C92E45"/>
    <w:rsid w:val="00C94D12"/>
    <w:rsid w:val="00C95DD7"/>
    <w:rsid w:val="00CA042B"/>
    <w:rsid w:val="00CA2BBD"/>
    <w:rsid w:val="00CA4D9B"/>
    <w:rsid w:val="00CA4F37"/>
    <w:rsid w:val="00CA6481"/>
    <w:rsid w:val="00CB267B"/>
    <w:rsid w:val="00CB2CCD"/>
    <w:rsid w:val="00CC03CC"/>
    <w:rsid w:val="00CC27E2"/>
    <w:rsid w:val="00CC295B"/>
    <w:rsid w:val="00CC29B9"/>
    <w:rsid w:val="00CC4A48"/>
    <w:rsid w:val="00CC52DA"/>
    <w:rsid w:val="00CC5850"/>
    <w:rsid w:val="00CD3BA7"/>
    <w:rsid w:val="00CD608A"/>
    <w:rsid w:val="00CD6F39"/>
    <w:rsid w:val="00CD710B"/>
    <w:rsid w:val="00CD71A5"/>
    <w:rsid w:val="00CE1AE4"/>
    <w:rsid w:val="00CE2D7A"/>
    <w:rsid w:val="00CE379F"/>
    <w:rsid w:val="00CE7BE6"/>
    <w:rsid w:val="00CE7F93"/>
    <w:rsid w:val="00CF2768"/>
    <w:rsid w:val="00CF5C64"/>
    <w:rsid w:val="00CF6238"/>
    <w:rsid w:val="00CF64D0"/>
    <w:rsid w:val="00CF7449"/>
    <w:rsid w:val="00D00CA9"/>
    <w:rsid w:val="00D01766"/>
    <w:rsid w:val="00D024DE"/>
    <w:rsid w:val="00D0283C"/>
    <w:rsid w:val="00D03949"/>
    <w:rsid w:val="00D07A39"/>
    <w:rsid w:val="00D1240B"/>
    <w:rsid w:val="00D134AD"/>
    <w:rsid w:val="00D15421"/>
    <w:rsid w:val="00D15751"/>
    <w:rsid w:val="00D16E3D"/>
    <w:rsid w:val="00D229AB"/>
    <w:rsid w:val="00D238C2"/>
    <w:rsid w:val="00D23CA2"/>
    <w:rsid w:val="00D25E53"/>
    <w:rsid w:val="00D27B04"/>
    <w:rsid w:val="00D30BE2"/>
    <w:rsid w:val="00D32DCF"/>
    <w:rsid w:val="00D364A5"/>
    <w:rsid w:val="00D41975"/>
    <w:rsid w:val="00D41EE1"/>
    <w:rsid w:val="00D43AEC"/>
    <w:rsid w:val="00D4486F"/>
    <w:rsid w:val="00D451F6"/>
    <w:rsid w:val="00D5032E"/>
    <w:rsid w:val="00D5103E"/>
    <w:rsid w:val="00D53392"/>
    <w:rsid w:val="00D55185"/>
    <w:rsid w:val="00D61A12"/>
    <w:rsid w:val="00D61AFE"/>
    <w:rsid w:val="00D65B9F"/>
    <w:rsid w:val="00D74D5E"/>
    <w:rsid w:val="00D7553B"/>
    <w:rsid w:val="00D82C80"/>
    <w:rsid w:val="00D83433"/>
    <w:rsid w:val="00D851EA"/>
    <w:rsid w:val="00D85849"/>
    <w:rsid w:val="00D95F48"/>
    <w:rsid w:val="00DB00C3"/>
    <w:rsid w:val="00DB0372"/>
    <w:rsid w:val="00DB3EDC"/>
    <w:rsid w:val="00DB51FD"/>
    <w:rsid w:val="00DB580D"/>
    <w:rsid w:val="00DB5CE2"/>
    <w:rsid w:val="00DB652B"/>
    <w:rsid w:val="00DC036E"/>
    <w:rsid w:val="00DC2035"/>
    <w:rsid w:val="00DC4687"/>
    <w:rsid w:val="00DC4AD5"/>
    <w:rsid w:val="00DC5A00"/>
    <w:rsid w:val="00DC6F13"/>
    <w:rsid w:val="00DC70E4"/>
    <w:rsid w:val="00DC7394"/>
    <w:rsid w:val="00DD17B6"/>
    <w:rsid w:val="00DD3465"/>
    <w:rsid w:val="00DD6276"/>
    <w:rsid w:val="00DE44B3"/>
    <w:rsid w:val="00DE494B"/>
    <w:rsid w:val="00DE5FA4"/>
    <w:rsid w:val="00DF06A8"/>
    <w:rsid w:val="00DF26A3"/>
    <w:rsid w:val="00DF3E7D"/>
    <w:rsid w:val="00DF41E3"/>
    <w:rsid w:val="00DF4F83"/>
    <w:rsid w:val="00DF73C9"/>
    <w:rsid w:val="00DF7EE4"/>
    <w:rsid w:val="00E0050F"/>
    <w:rsid w:val="00E0109B"/>
    <w:rsid w:val="00E0360A"/>
    <w:rsid w:val="00E05177"/>
    <w:rsid w:val="00E12D5B"/>
    <w:rsid w:val="00E150ED"/>
    <w:rsid w:val="00E21649"/>
    <w:rsid w:val="00E21C3D"/>
    <w:rsid w:val="00E240C1"/>
    <w:rsid w:val="00E24332"/>
    <w:rsid w:val="00E2456D"/>
    <w:rsid w:val="00E25411"/>
    <w:rsid w:val="00E26DB2"/>
    <w:rsid w:val="00E3158F"/>
    <w:rsid w:val="00E34A7C"/>
    <w:rsid w:val="00E377F8"/>
    <w:rsid w:val="00E4006D"/>
    <w:rsid w:val="00E43AA6"/>
    <w:rsid w:val="00E45876"/>
    <w:rsid w:val="00E46B1B"/>
    <w:rsid w:val="00E478CA"/>
    <w:rsid w:val="00E47982"/>
    <w:rsid w:val="00E5058E"/>
    <w:rsid w:val="00E508D3"/>
    <w:rsid w:val="00E51C51"/>
    <w:rsid w:val="00E5209A"/>
    <w:rsid w:val="00E52DD8"/>
    <w:rsid w:val="00E54A09"/>
    <w:rsid w:val="00E55CB5"/>
    <w:rsid w:val="00E609FD"/>
    <w:rsid w:val="00E6166E"/>
    <w:rsid w:val="00E63796"/>
    <w:rsid w:val="00E63937"/>
    <w:rsid w:val="00E65823"/>
    <w:rsid w:val="00E66268"/>
    <w:rsid w:val="00E6760C"/>
    <w:rsid w:val="00E717BE"/>
    <w:rsid w:val="00E73C88"/>
    <w:rsid w:val="00E75296"/>
    <w:rsid w:val="00E7547E"/>
    <w:rsid w:val="00E764AA"/>
    <w:rsid w:val="00E8006D"/>
    <w:rsid w:val="00E81987"/>
    <w:rsid w:val="00E82152"/>
    <w:rsid w:val="00E8365A"/>
    <w:rsid w:val="00E9280B"/>
    <w:rsid w:val="00E93C76"/>
    <w:rsid w:val="00E94177"/>
    <w:rsid w:val="00E94215"/>
    <w:rsid w:val="00E94C60"/>
    <w:rsid w:val="00EA1479"/>
    <w:rsid w:val="00EA38BD"/>
    <w:rsid w:val="00EA5102"/>
    <w:rsid w:val="00EA5DD3"/>
    <w:rsid w:val="00EA7C04"/>
    <w:rsid w:val="00EB0ED8"/>
    <w:rsid w:val="00EB2AD9"/>
    <w:rsid w:val="00EB3B22"/>
    <w:rsid w:val="00EB484D"/>
    <w:rsid w:val="00EB4D94"/>
    <w:rsid w:val="00EB50A6"/>
    <w:rsid w:val="00EB513A"/>
    <w:rsid w:val="00EC0DB8"/>
    <w:rsid w:val="00EC1004"/>
    <w:rsid w:val="00EC3624"/>
    <w:rsid w:val="00EC780B"/>
    <w:rsid w:val="00ED0F39"/>
    <w:rsid w:val="00ED19BE"/>
    <w:rsid w:val="00ED1F15"/>
    <w:rsid w:val="00ED207A"/>
    <w:rsid w:val="00ED291B"/>
    <w:rsid w:val="00ED3B1E"/>
    <w:rsid w:val="00ED3E38"/>
    <w:rsid w:val="00ED4583"/>
    <w:rsid w:val="00EE24B1"/>
    <w:rsid w:val="00EE26B6"/>
    <w:rsid w:val="00EE516A"/>
    <w:rsid w:val="00EE5F51"/>
    <w:rsid w:val="00EF0256"/>
    <w:rsid w:val="00EF09BE"/>
    <w:rsid w:val="00EF1425"/>
    <w:rsid w:val="00EF46BE"/>
    <w:rsid w:val="00EF5B93"/>
    <w:rsid w:val="00F00978"/>
    <w:rsid w:val="00F05DCF"/>
    <w:rsid w:val="00F06C28"/>
    <w:rsid w:val="00F118F8"/>
    <w:rsid w:val="00F138BE"/>
    <w:rsid w:val="00F15DFA"/>
    <w:rsid w:val="00F20DDC"/>
    <w:rsid w:val="00F21907"/>
    <w:rsid w:val="00F227FA"/>
    <w:rsid w:val="00F22DE4"/>
    <w:rsid w:val="00F23872"/>
    <w:rsid w:val="00F23EC1"/>
    <w:rsid w:val="00F24C85"/>
    <w:rsid w:val="00F264EF"/>
    <w:rsid w:val="00F30E6F"/>
    <w:rsid w:val="00F32649"/>
    <w:rsid w:val="00F340A9"/>
    <w:rsid w:val="00F37025"/>
    <w:rsid w:val="00F3718E"/>
    <w:rsid w:val="00F376C0"/>
    <w:rsid w:val="00F3773C"/>
    <w:rsid w:val="00F41990"/>
    <w:rsid w:val="00F45F18"/>
    <w:rsid w:val="00F639D6"/>
    <w:rsid w:val="00F65417"/>
    <w:rsid w:val="00F672B3"/>
    <w:rsid w:val="00F71BFB"/>
    <w:rsid w:val="00F727B4"/>
    <w:rsid w:val="00F73177"/>
    <w:rsid w:val="00F763BB"/>
    <w:rsid w:val="00F76F94"/>
    <w:rsid w:val="00F77291"/>
    <w:rsid w:val="00F77724"/>
    <w:rsid w:val="00F77F16"/>
    <w:rsid w:val="00F805A4"/>
    <w:rsid w:val="00F80C9D"/>
    <w:rsid w:val="00F81FA6"/>
    <w:rsid w:val="00F83547"/>
    <w:rsid w:val="00F85FFB"/>
    <w:rsid w:val="00F86DEC"/>
    <w:rsid w:val="00F954E4"/>
    <w:rsid w:val="00F96370"/>
    <w:rsid w:val="00FA264B"/>
    <w:rsid w:val="00FA3E02"/>
    <w:rsid w:val="00FA418D"/>
    <w:rsid w:val="00FA488B"/>
    <w:rsid w:val="00FA58F8"/>
    <w:rsid w:val="00FA60F6"/>
    <w:rsid w:val="00FA7BD0"/>
    <w:rsid w:val="00FB7BCF"/>
    <w:rsid w:val="00FC1B47"/>
    <w:rsid w:val="00FC37B4"/>
    <w:rsid w:val="00FC5D4A"/>
    <w:rsid w:val="00FC63AD"/>
    <w:rsid w:val="00FD147E"/>
    <w:rsid w:val="00FE0BFC"/>
    <w:rsid w:val="00FE1319"/>
    <w:rsid w:val="00FE54C5"/>
    <w:rsid w:val="00FE5F42"/>
    <w:rsid w:val="00FF5140"/>
    <w:rsid w:val="00FF7725"/>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22F6"/>
  <w15:chartTrackingRefBased/>
  <w15:docId w15:val="{C7F44C7C-C487-4E03-B9F7-36D08B37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5B"/>
    <w:pPr>
      <w:ind w:left="720"/>
      <w:contextualSpacing/>
    </w:pPr>
  </w:style>
  <w:style w:type="character" w:styleId="Hyperlink">
    <w:name w:val="Hyperlink"/>
    <w:basedOn w:val="DefaultParagraphFont"/>
    <w:uiPriority w:val="99"/>
    <w:unhideWhenUsed/>
    <w:rsid w:val="00FF5140"/>
    <w:rPr>
      <w:color w:val="0000FF"/>
      <w:u w:val="single"/>
    </w:rPr>
  </w:style>
  <w:style w:type="paragraph" w:styleId="NormalWeb">
    <w:name w:val="Normal (Web)"/>
    <w:basedOn w:val="Normal"/>
    <w:uiPriority w:val="99"/>
    <w:semiHidden/>
    <w:unhideWhenUsed/>
    <w:rsid w:val="00FF5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122C"/>
    <w:rPr>
      <w:b/>
      <w:bCs/>
    </w:rPr>
  </w:style>
  <w:style w:type="character" w:styleId="UnresolvedMention">
    <w:name w:val="Unresolved Mention"/>
    <w:basedOn w:val="DefaultParagraphFont"/>
    <w:uiPriority w:val="99"/>
    <w:semiHidden/>
    <w:unhideWhenUsed/>
    <w:rsid w:val="0043122C"/>
    <w:rPr>
      <w:color w:val="605E5C"/>
      <w:shd w:val="clear" w:color="auto" w:fill="E1DFDD"/>
    </w:rPr>
  </w:style>
  <w:style w:type="character" w:styleId="FollowedHyperlink">
    <w:name w:val="FollowedHyperlink"/>
    <w:basedOn w:val="DefaultParagraphFont"/>
    <w:uiPriority w:val="99"/>
    <w:semiHidden/>
    <w:unhideWhenUsed/>
    <w:rsid w:val="00B26423"/>
    <w:rPr>
      <w:color w:val="800080" w:themeColor="followedHyperlink"/>
      <w:u w:val="single"/>
    </w:rPr>
  </w:style>
  <w:style w:type="paragraph" w:styleId="Header">
    <w:name w:val="header"/>
    <w:basedOn w:val="Normal"/>
    <w:link w:val="HeaderChar"/>
    <w:uiPriority w:val="99"/>
    <w:unhideWhenUsed/>
    <w:rsid w:val="003B6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F80"/>
  </w:style>
  <w:style w:type="paragraph" w:styleId="Footer">
    <w:name w:val="footer"/>
    <w:basedOn w:val="Normal"/>
    <w:link w:val="FooterChar"/>
    <w:uiPriority w:val="99"/>
    <w:unhideWhenUsed/>
    <w:rsid w:val="003B6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F80"/>
  </w:style>
  <w:style w:type="paragraph" w:customStyle="1" w:styleId="Default">
    <w:name w:val="Default"/>
    <w:rsid w:val="00CC03CC"/>
    <w:pPr>
      <w:autoSpaceDE w:val="0"/>
      <w:autoSpaceDN w:val="0"/>
      <w:adjustRightInd w:val="0"/>
      <w:spacing w:after="0" w:line="240" w:lineRule="auto"/>
    </w:pPr>
    <w:rPr>
      <w:rFonts w:ascii="Aktiv Grotesk Medium" w:hAnsi="Aktiv Grotesk Medium" w:cs="Aktiv Grotesk Medium"/>
      <w:color w:val="000000"/>
      <w:sz w:val="24"/>
      <w:szCs w:val="24"/>
    </w:rPr>
  </w:style>
  <w:style w:type="paragraph" w:customStyle="1" w:styleId="Pa0">
    <w:name w:val="Pa0"/>
    <w:basedOn w:val="Default"/>
    <w:next w:val="Default"/>
    <w:uiPriority w:val="99"/>
    <w:rsid w:val="00CC03CC"/>
    <w:pPr>
      <w:spacing w:line="241" w:lineRule="atLeast"/>
    </w:pPr>
    <w:rPr>
      <w:rFonts w:cstheme="minorBidi"/>
      <w:color w:val="auto"/>
    </w:rPr>
  </w:style>
  <w:style w:type="character" w:customStyle="1" w:styleId="A1">
    <w:name w:val="A1"/>
    <w:uiPriority w:val="99"/>
    <w:rsid w:val="00CC03CC"/>
    <w:rPr>
      <w:rFonts w:cs="Aktiv Grotesk Medium"/>
      <w:color w:val="000000"/>
      <w:sz w:val="30"/>
      <w:szCs w:val="30"/>
    </w:rPr>
  </w:style>
  <w:style w:type="paragraph" w:styleId="BalloonText">
    <w:name w:val="Balloon Text"/>
    <w:basedOn w:val="Normal"/>
    <w:link w:val="BalloonTextChar"/>
    <w:uiPriority w:val="99"/>
    <w:semiHidden/>
    <w:unhideWhenUsed/>
    <w:rsid w:val="00027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B0"/>
    <w:rPr>
      <w:rFonts w:ascii="Segoe UI" w:hAnsi="Segoe UI" w:cs="Segoe UI"/>
      <w:sz w:val="18"/>
      <w:szCs w:val="18"/>
    </w:rPr>
  </w:style>
  <w:style w:type="paragraph" w:customStyle="1" w:styleId="EndNoteBibliography">
    <w:name w:val="EndNote Bibliography"/>
    <w:rsid w:val="002B101B"/>
    <w:pPr>
      <w:pBdr>
        <w:top w:val="nil"/>
        <w:left w:val="nil"/>
        <w:bottom w:val="nil"/>
        <w:right w:val="nil"/>
        <w:between w:val="nil"/>
        <w:bar w:val="nil"/>
      </w:pBdr>
      <w:spacing w:after="160" w:line="240" w:lineRule="auto"/>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340623"/>
    <w:rPr>
      <w:sz w:val="16"/>
      <w:szCs w:val="16"/>
    </w:rPr>
  </w:style>
  <w:style w:type="paragraph" w:styleId="CommentText">
    <w:name w:val="annotation text"/>
    <w:basedOn w:val="Normal"/>
    <w:link w:val="CommentTextChar"/>
    <w:uiPriority w:val="99"/>
    <w:unhideWhenUsed/>
    <w:rsid w:val="00340623"/>
    <w:pPr>
      <w:spacing w:line="240" w:lineRule="auto"/>
    </w:pPr>
    <w:rPr>
      <w:sz w:val="20"/>
      <w:szCs w:val="20"/>
    </w:rPr>
  </w:style>
  <w:style w:type="character" w:customStyle="1" w:styleId="CommentTextChar">
    <w:name w:val="Comment Text Char"/>
    <w:basedOn w:val="DefaultParagraphFont"/>
    <w:link w:val="CommentText"/>
    <w:uiPriority w:val="99"/>
    <w:rsid w:val="00340623"/>
    <w:rPr>
      <w:sz w:val="20"/>
      <w:szCs w:val="20"/>
    </w:rPr>
  </w:style>
  <w:style w:type="paragraph" w:styleId="CommentSubject">
    <w:name w:val="annotation subject"/>
    <w:basedOn w:val="CommentText"/>
    <w:next w:val="CommentText"/>
    <w:link w:val="CommentSubjectChar"/>
    <w:uiPriority w:val="99"/>
    <w:semiHidden/>
    <w:unhideWhenUsed/>
    <w:rsid w:val="00340623"/>
    <w:rPr>
      <w:b/>
      <w:bCs/>
    </w:rPr>
  </w:style>
  <w:style w:type="character" w:customStyle="1" w:styleId="CommentSubjectChar">
    <w:name w:val="Comment Subject Char"/>
    <w:basedOn w:val="CommentTextChar"/>
    <w:link w:val="CommentSubject"/>
    <w:uiPriority w:val="99"/>
    <w:semiHidden/>
    <w:rsid w:val="00340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2394">
      <w:bodyDiv w:val="1"/>
      <w:marLeft w:val="0"/>
      <w:marRight w:val="0"/>
      <w:marTop w:val="0"/>
      <w:marBottom w:val="0"/>
      <w:divBdr>
        <w:top w:val="none" w:sz="0" w:space="0" w:color="auto"/>
        <w:left w:val="none" w:sz="0" w:space="0" w:color="auto"/>
        <w:bottom w:val="none" w:sz="0" w:space="0" w:color="auto"/>
        <w:right w:val="none" w:sz="0" w:space="0" w:color="auto"/>
      </w:divBdr>
    </w:div>
    <w:div w:id="190655996">
      <w:bodyDiv w:val="1"/>
      <w:marLeft w:val="0"/>
      <w:marRight w:val="0"/>
      <w:marTop w:val="0"/>
      <w:marBottom w:val="0"/>
      <w:divBdr>
        <w:top w:val="none" w:sz="0" w:space="0" w:color="auto"/>
        <w:left w:val="none" w:sz="0" w:space="0" w:color="auto"/>
        <w:bottom w:val="none" w:sz="0" w:space="0" w:color="auto"/>
        <w:right w:val="none" w:sz="0" w:space="0" w:color="auto"/>
      </w:divBdr>
    </w:div>
    <w:div w:id="490634240">
      <w:bodyDiv w:val="1"/>
      <w:marLeft w:val="0"/>
      <w:marRight w:val="0"/>
      <w:marTop w:val="0"/>
      <w:marBottom w:val="0"/>
      <w:divBdr>
        <w:top w:val="none" w:sz="0" w:space="0" w:color="auto"/>
        <w:left w:val="none" w:sz="0" w:space="0" w:color="auto"/>
        <w:bottom w:val="none" w:sz="0" w:space="0" w:color="auto"/>
        <w:right w:val="none" w:sz="0" w:space="0" w:color="auto"/>
      </w:divBdr>
    </w:div>
    <w:div w:id="660743900">
      <w:bodyDiv w:val="1"/>
      <w:marLeft w:val="0"/>
      <w:marRight w:val="0"/>
      <w:marTop w:val="0"/>
      <w:marBottom w:val="0"/>
      <w:divBdr>
        <w:top w:val="none" w:sz="0" w:space="0" w:color="auto"/>
        <w:left w:val="none" w:sz="0" w:space="0" w:color="auto"/>
        <w:bottom w:val="none" w:sz="0" w:space="0" w:color="auto"/>
        <w:right w:val="none" w:sz="0" w:space="0" w:color="auto"/>
      </w:divBdr>
      <w:divsChild>
        <w:div w:id="871723267">
          <w:marLeft w:val="0"/>
          <w:marRight w:val="0"/>
          <w:marTop w:val="0"/>
          <w:marBottom w:val="0"/>
          <w:divBdr>
            <w:top w:val="none" w:sz="0" w:space="0" w:color="auto"/>
            <w:left w:val="none" w:sz="0" w:space="0" w:color="auto"/>
            <w:bottom w:val="none" w:sz="0" w:space="0" w:color="auto"/>
            <w:right w:val="none" w:sz="0" w:space="0" w:color="auto"/>
          </w:divBdr>
          <w:divsChild>
            <w:div w:id="14386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0426">
      <w:bodyDiv w:val="1"/>
      <w:marLeft w:val="0"/>
      <w:marRight w:val="0"/>
      <w:marTop w:val="0"/>
      <w:marBottom w:val="0"/>
      <w:divBdr>
        <w:top w:val="none" w:sz="0" w:space="0" w:color="auto"/>
        <w:left w:val="none" w:sz="0" w:space="0" w:color="auto"/>
        <w:bottom w:val="none" w:sz="0" w:space="0" w:color="auto"/>
        <w:right w:val="none" w:sz="0" w:space="0" w:color="auto"/>
      </w:divBdr>
      <w:divsChild>
        <w:div w:id="2078506961">
          <w:marLeft w:val="547"/>
          <w:marRight w:val="0"/>
          <w:marTop w:val="115"/>
          <w:marBottom w:val="0"/>
          <w:divBdr>
            <w:top w:val="none" w:sz="0" w:space="0" w:color="auto"/>
            <w:left w:val="none" w:sz="0" w:space="0" w:color="auto"/>
            <w:bottom w:val="none" w:sz="0" w:space="0" w:color="auto"/>
            <w:right w:val="none" w:sz="0" w:space="0" w:color="auto"/>
          </w:divBdr>
        </w:div>
        <w:div w:id="1948124870">
          <w:marLeft w:val="547"/>
          <w:marRight w:val="0"/>
          <w:marTop w:val="115"/>
          <w:marBottom w:val="0"/>
          <w:divBdr>
            <w:top w:val="none" w:sz="0" w:space="0" w:color="auto"/>
            <w:left w:val="none" w:sz="0" w:space="0" w:color="auto"/>
            <w:bottom w:val="none" w:sz="0" w:space="0" w:color="auto"/>
            <w:right w:val="none" w:sz="0" w:space="0" w:color="auto"/>
          </w:divBdr>
        </w:div>
        <w:div w:id="1580600895">
          <w:marLeft w:val="547"/>
          <w:marRight w:val="0"/>
          <w:marTop w:val="115"/>
          <w:marBottom w:val="0"/>
          <w:divBdr>
            <w:top w:val="none" w:sz="0" w:space="0" w:color="auto"/>
            <w:left w:val="none" w:sz="0" w:space="0" w:color="auto"/>
            <w:bottom w:val="none" w:sz="0" w:space="0" w:color="auto"/>
            <w:right w:val="none" w:sz="0" w:space="0" w:color="auto"/>
          </w:divBdr>
        </w:div>
        <w:div w:id="444814463">
          <w:marLeft w:val="547"/>
          <w:marRight w:val="0"/>
          <w:marTop w:val="115"/>
          <w:marBottom w:val="0"/>
          <w:divBdr>
            <w:top w:val="none" w:sz="0" w:space="0" w:color="auto"/>
            <w:left w:val="none" w:sz="0" w:space="0" w:color="auto"/>
            <w:bottom w:val="none" w:sz="0" w:space="0" w:color="auto"/>
            <w:right w:val="none" w:sz="0" w:space="0" w:color="auto"/>
          </w:divBdr>
        </w:div>
        <w:div w:id="1041587981">
          <w:marLeft w:val="1166"/>
          <w:marRight w:val="0"/>
          <w:marTop w:val="115"/>
          <w:marBottom w:val="0"/>
          <w:divBdr>
            <w:top w:val="none" w:sz="0" w:space="0" w:color="auto"/>
            <w:left w:val="none" w:sz="0" w:space="0" w:color="auto"/>
            <w:bottom w:val="none" w:sz="0" w:space="0" w:color="auto"/>
            <w:right w:val="none" w:sz="0" w:space="0" w:color="auto"/>
          </w:divBdr>
        </w:div>
      </w:divsChild>
    </w:div>
    <w:div w:id="957223214">
      <w:bodyDiv w:val="1"/>
      <w:marLeft w:val="0"/>
      <w:marRight w:val="0"/>
      <w:marTop w:val="0"/>
      <w:marBottom w:val="0"/>
      <w:divBdr>
        <w:top w:val="none" w:sz="0" w:space="0" w:color="auto"/>
        <w:left w:val="none" w:sz="0" w:space="0" w:color="auto"/>
        <w:bottom w:val="none" w:sz="0" w:space="0" w:color="auto"/>
        <w:right w:val="none" w:sz="0" w:space="0" w:color="auto"/>
      </w:divBdr>
      <w:divsChild>
        <w:div w:id="1486162612">
          <w:marLeft w:val="0"/>
          <w:marRight w:val="0"/>
          <w:marTop w:val="0"/>
          <w:marBottom w:val="0"/>
          <w:divBdr>
            <w:top w:val="none" w:sz="0" w:space="0" w:color="auto"/>
            <w:left w:val="none" w:sz="0" w:space="0" w:color="auto"/>
            <w:bottom w:val="none" w:sz="0" w:space="0" w:color="auto"/>
            <w:right w:val="none" w:sz="0" w:space="0" w:color="auto"/>
          </w:divBdr>
          <w:divsChild>
            <w:div w:id="17747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5104">
      <w:bodyDiv w:val="1"/>
      <w:marLeft w:val="0"/>
      <w:marRight w:val="0"/>
      <w:marTop w:val="0"/>
      <w:marBottom w:val="0"/>
      <w:divBdr>
        <w:top w:val="none" w:sz="0" w:space="0" w:color="auto"/>
        <w:left w:val="none" w:sz="0" w:space="0" w:color="auto"/>
        <w:bottom w:val="none" w:sz="0" w:space="0" w:color="auto"/>
        <w:right w:val="none" w:sz="0" w:space="0" w:color="auto"/>
      </w:divBdr>
    </w:div>
    <w:div w:id="1218710045">
      <w:bodyDiv w:val="1"/>
      <w:marLeft w:val="0"/>
      <w:marRight w:val="0"/>
      <w:marTop w:val="0"/>
      <w:marBottom w:val="0"/>
      <w:divBdr>
        <w:top w:val="none" w:sz="0" w:space="0" w:color="auto"/>
        <w:left w:val="none" w:sz="0" w:space="0" w:color="auto"/>
        <w:bottom w:val="none" w:sz="0" w:space="0" w:color="auto"/>
        <w:right w:val="none" w:sz="0" w:space="0" w:color="auto"/>
      </w:divBdr>
      <w:divsChild>
        <w:div w:id="1635136582">
          <w:marLeft w:val="547"/>
          <w:marRight w:val="0"/>
          <w:marTop w:val="115"/>
          <w:marBottom w:val="0"/>
          <w:divBdr>
            <w:top w:val="none" w:sz="0" w:space="0" w:color="auto"/>
            <w:left w:val="none" w:sz="0" w:space="0" w:color="auto"/>
            <w:bottom w:val="none" w:sz="0" w:space="0" w:color="auto"/>
            <w:right w:val="none" w:sz="0" w:space="0" w:color="auto"/>
          </w:divBdr>
        </w:div>
        <w:div w:id="330257955">
          <w:marLeft w:val="547"/>
          <w:marRight w:val="0"/>
          <w:marTop w:val="115"/>
          <w:marBottom w:val="0"/>
          <w:divBdr>
            <w:top w:val="none" w:sz="0" w:space="0" w:color="auto"/>
            <w:left w:val="none" w:sz="0" w:space="0" w:color="auto"/>
            <w:bottom w:val="none" w:sz="0" w:space="0" w:color="auto"/>
            <w:right w:val="none" w:sz="0" w:space="0" w:color="auto"/>
          </w:divBdr>
        </w:div>
        <w:div w:id="1761633927">
          <w:marLeft w:val="547"/>
          <w:marRight w:val="0"/>
          <w:marTop w:val="115"/>
          <w:marBottom w:val="0"/>
          <w:divBdr>
            <w:top w:val="none" w:sz="0" w:space="0" w:color="auto"/>
            <w:left w:val="none" w:sz="0" w:space="0" w:color="auto"/>
            <w:bottom w:val="none" w:sz="0" w:space="0" w:color="auto"/>
            <w:right w:val="none" w:sz="0" w:space="0" w:color="auto"/>
          </w:divBdr>
        </w:div>
        <w:div w:id="964505348">
          <w:marLeft w:val="547"/>
          <w:marRight w:val="0"/>
          <w:marTop w:val="115"/>
          <w:marBottom w:val="0"/>
          <w:divBdr>
            <w:top w:val="none" w:sz="0" w:space="0" w:color="auto"/>
            <w:left w:val="none" w:sz="0" w:space="0" w:color="auto"/>
            <w:bottom w:val="none" w:sz="0" w:space="0" w:color="auto"/>
            <w:right w:val="none" w:sz="0" w:space="0" w:color="auto"/>
          </w:divBdr>
        </w:div>
        <w:div w:id="609236934">
          <w:marLeft w:val="547"/>
          <w:marRight w:val="0"/>
          <w:marTop w:val="115"/>
          <w:marBottom w:val="0"/>
          <w:divBdr>
            <w:top w:val="none" w:sz="0" w:space="0" w:color="auto"/>
            <w:left w:val="none" w:sz="0" w:space="0" w:color="auto"/>
            <w:bottom w:val="none" w:sz="0" w:space="0" w:color="auto"/>
            <w:right w:val="none" w:sz="0" w:space="0" w:color="auto"/>
          </w:divBdr>
        </w:div>
      </w:divsChild>
    </w:div>
    <w:div w:id="1228682557">
      <w:bodyDiv w:val="1"/>
      <w:marLeft w:val="0"/>
      <w:marRight w:val="0"/>
      <w:marTop w:val="0"/>
      <w:marBottom w:val="0"/>
      <w:divBdr>
        <w:top w:val="none" w:sz="0" w:space="0" w:color="auto"/>
        <w:left w:val="none" w:sz="0" w:space="0" w:color="auto"/>
        <w:bottom w:val="none" w:sz="0" w:space="0" w:color="auto"/>
        <w:right w:val="none" w:sz="0" w:space="0" w:color="auto"/>
      </w:divBdr>
      <w:divsChild>
        <w:div w:id="402291782">
          <w:marLeft w:val="0"/>
          <w:marRight w:val="0"/>
          <w:marTop w:val="0"/>
          <w:marBottom w:val="0"/>
          <w:divBdr>
            <w:top w:val="none" w:sz="0" w:space="0" w:color="auto"/>
            <w:left w:val="none" w:sz="0" w:space="0" w:color="auto"/>
            <w:bottom w:val="none" w:sz="0" w:space="0" w:color="auto"/>
            <w:right w:val="none" w:sz="0" w:space="0" w:color="auto"/>
          </w:divBdr>
          <w:divsChild>
            <w:div w:id="1394541796">
              <w:marLeft w:val="0"/>
              <w:marRight w:val="0"/>
              <w:marTop w:val="0"/>
              <w:marBottom w:val="0"/>
              <w:divBdr>
                <w:top w:val="none" w:sz="0" w:space="0" w:color="auto"/>
                <w:left w:val="none" w:sz="0" w:space="0" w:color="auto"/>
                <w:bottom w:val="none" w:sz="0" w:space="0" w:color="auto"/>
                <w:right w:val="none" w:sz="0" w:space="0" w:color="auto"/>
              </w:divBdr>
              <w:divsChild>
                <w:div w:id="1624531463">
                  <w:marLeft w:val="0"/>
                  <w:marRight w:val="0"/>
                  <w:marTop w:val="0"/>
                  <w:marBottom w:val="0"/>
                  <w:divBdr>
                    <w:top w:val="none" w:sz="0" w:space="0" w:color="auto"/>
                    <w:left w:val="none" w:sz="0" w:space="0" w:color="auto"/>
                    <w:bottom w:val="none" w:sz="0" w:space="0" w:color="auto"/>
                    <w:right w:val="none" w:sz="0" w:space="0" w:color="auto"/>
                  </w:divBdr>
                  <w:divsChild>
                    <w:div w:id="1757239748">
                      <w:marLeft w:val="0"/>
                      <w:marRight w:val="0"/>
                      <w:marTop w:val="0"/>
                      <w:marBottom w:val="0"/>
                      <w:divBdr>
                        <w:top w:val="none" w:sz="0" w:space="0" w:color="auto"/>
                        <w:left w:val="none" w:sz="0" w:space="0" w:color="auto"/>
                        <w:bottom w:val="none" w:sz="0" w:space="0" w:color="auto"/>
                        <w:right w:val="none" w:sz="0" w:space="0" w:color="auto"/>
                      </w:divBdr>
                      <w:divsChild>
                        <w:div w:id="1503550907">
                          <w:marLeft w:val="0"/>
                          <w:marRight w:val="0"/>
                          <w:marTop w:val="0"/>
                          <w:marBottom w:val="0"/>
                          <w:divBdr>
                            <w:top w:val="none" w:sz="0" w:space="0" w:color="auto"/>
                            <w:left w:val="none" w:sz="0" w:space="0" w:color="auto"/>
                            <w:bottom w:val="none" w:sz="0" w:space="0" w:color="auto"/>
                            <w:right w:val="none" w:sz="0" w:space="0" w:color="auto"/>
                          </w:divBdr>
                          <w:divsChild>
                            <w:div w:id="139732683">
                              <w:marLeft w:val="0"/>
                              <w:marRight w:val="0"/>
                              <w:marTop w:val="0"/>
                              <w:marBottom w:val="0"/>
                              <w:divBdr>
                                <w:top w:val="none" w:sz="0" w:space="0" w:color="auto"/>
                                <w:left w:val="none" w:sz="0" w:space="0" w:color="auto"/>
                                <w:bottom w:val="none" w:sz="0" w:space="0" w:color="auto"/>
                                <w:right w:val="none" w:sz="0" w:space="0" w:color="auto"/>
                              </w:divBdr>
                              <w:divsChild>
                                <w:div w:id="273948698">
                                  <w:marLeft w:val="0"/>
                                  <w:marRight w:val="0"/>
                                  <w:marTop w:val="0"/>
                                  <w:marBottom w:val="0"/>
                                  <w:divBdr>
                                    <w:top w:val="none" w:sz="0" w:space="0" w:color="auto"/>
                                    <w:left w:val="none" w:sz="0" w:space="0" w:color="auto"/>
                                    <w:bottom w:val="none" w:sz="0" w:space="0" w:color="auto"/>
                                    <w:right w:val="none" w:sz="0" w:space="0" w:color="auto"/>
                                  </w:divBdr>
                                  <w:divsChild>
                                    <w:div w:id="1414545833">
                                      <w:marLeft w:val="0"/>
                                      <w:marRight w:val="0"/>
                                      <w:marTop w:val="0"/>
                                      <w:marBottom w:val="0"/>
                                      <w:divBdr>
                                        <w:top w:val="none" w:sz="0" w:space="0" w:color="auto"/>
                                        <w:left w:val="none" w:sz="0" w:space="0" w:color="auto"/>
                                        <w:bottom w:val="none" w:sz="0" w:space="0" w:color="auto"/>
                                        <w:right w:val="none" w:sz="0" w:space="0" w:color="auto"/>
                                      </w:divBdr>
                                      <w:divsChild>
                                        <w:div w:id="442237167">
                                          <w:marLeft w:val="0"/>
                                          <w:marRight w:val="0"/>
                                          <w:marTop w:val="0"/>
                                          <w:marBottom w:val="0"/>
                                          <w:divBdr>
                                            <w:top w:val="none" w:sz="0" w:space="0" w:color="auto"/>
                                            <w:left w:val="none" w:sz="0" w:space="0" w:color="auto"/>
                                            <w:bottom w:val="none" w:sz="0" w:space="0" w:color="auto"/>
                                            <w:right w:val="none" w:sz="0" w:space="0" w:color="auto"/>
                                          </w:divBdr>
                                          <w:divsChild>
                                            <w:div w:id="1071392655">
                                              <w:marLeft w:val="0"/>
                                              <w:marRight w:val="0"/>
                                              <w:marTop w:val="0"/>
                                              <w:marBottom w:val="0"/>
                                              <w:divBdr>
                                                <w:top w:val="none" w:sz="0" w:space="0" w:color="auto"/>
                                                <w:left w:val="none" w:sz="0" w:space="0" w:color="auto"/>
                                                <w:bottom w:val="none" w:sz="0" w:space="0" w:color="auto"/>
                                                <w:right w:val="none" w:sz="0" w:space="0" w:color="auto"/>
                                              </w:divBdr>
                                              <w:divsChild>
                                                <w:div w:id="228462518">
                                                  <w:marLeft w:val="0"/>
                                                  <w:marRight w:val="0"/>
                                                  <w:marTop w:val="0"/>
                                                  <w:marBottom w:val="0"/>
                                                  <w:divBdr>
                                                    <w:top w:val="none" w:sz="0" w:space="0" w:color="auto"/>
                                                    <w:left w:val="none" w:sz="0" w:space="0" w:color="auto"/>
                                                    <w:bottom w:val="none" w:sz="0" w:space="0" w:color="auto"/>
                                                    <w:right w:val="none" w:sz="0" w:space="0" w:color="auto"/>
                                                  </w:divBdr>
                                                  <w:divsChild>
                                                    <w:div w:id="1878006819">
                                                      <w:marLeft w:val="0"/>
                                                      <w:marRight w:val="0"/>
                                                      <w:marTop w:val="0"/>
                                                      <w:marBottom w:val="0"/>
                                                      <w:divBdr>
                                                        <w:top w:val="none" w:sz="0" w:space="0" w:color="auto"/>
                                                        <w:left w:val="none" w:sz="0" w:space="0" w:color="auto"/>
                                                        <w:bottom w:val="none" w:sz="0" w:space="0" w:color="auto"/>
                                                        <w:right w:val="none" w:sz="0" w:space="0" w:color="auto"/>
                                                      </w:divBdr>
                                                      <w:divsChild>
                                                        <w:div w:id="4944320">
                                                          <w:marLeft w:val="0"/>
                                                          <w:marRight w:val="0"/>
                                                          <w:marTop w:val="0"/>
                                                          <w:marBottom w:val="0"/>
                                                          <w:divBdr>
                                                            <w:top w:val="none" w:sz="0" w:space="0" w:color="auto"/>
                                                            <w:left w:val="none" w:sz="0" w:space="0" w:color="auto"/>
                                                            <w:bottom w:val="none" w:sz="0" w:space="0" w:color="auto"/>
                                                            <w:right w:val="none" w:sz="0" w:space="0" w:color="auto"/>
                                                          </w:divBdr>
                                                          <w:divsChild>
                                                            <w:div w:id="149249658">
                                                              <w:marLeft w:val="0"/>
                                                              <w:marRight w:val="0"/>
                                                              <w:marTop w:val="0"/>
                                                              <w:marBottom w:val="0"/>
                                                              <w:divBdr>
                                                                <w:top w:val="none" w:sz="0" w:space="0" w:color="auto"/>
                                                                <w:left w:val="none" w:sz="0" w:space="0" w:color="auto"/>
                                                                <w:bottom w:val="none" w:sz="0" w:space="0" w:color="auto"/>
                                                                <w:right w:val="none" w:sz="0" w:space="0" w:color="auto"/>
                                                              </w:divBdr>
                                                              <w:divsChild>
                                                                <w:div w:id="1719014942">
                                                                  <w:marLeft w:val="0"/>
                                                                  <w:marRight w:val="0"/>
                                                                  <w:marTop w:val="0"/>
                                                                  <w:marBottom w:val="420"/>
                                                                  <w:divBdr>
                                                                    <w:top w:val="none" w:sz="0" w:space="0" w:color="auto"/>
                                                                    <w:left w:val="none" w:sz="0" w:space="0" w:color="auto"/>
                                                                    <w:bottom w:val="none" w:sz="0" w:space="0" w:color="auto"/>
                                                                    <w:right w:val="none" w:sz="0" w:space="0" w:color="auto"/>
                                                                  </w:divBdr>
                                                                  <w:divsChild>
                                                                    <w:div w:id="1870757836">
                                                                      <w:marLeft w:val="0"/>
                                                                      <w:marRight w:val="0"/>
                                                                      <w:marTop w:val="0"/>
                                                                      <w:marBottom w:val="0"/>
                                                                      <w:divBdr>
                                                                        <w:top w:val="none" w:sz="0" w:space="0" w:color="auto"/>
                                                                        <w:left w:val="none" w:sz="0" w:space="0" w:color="auto"/>
                                                                        <w:bottom w:val="none" w:sz="0" w:space="0" w:color="auto"/>
                                                                        <w:right w:val="none" w:sz="0" w:space="0" w:color="auto"/>
                                                                      </w:divBdr>
                                                                      <w:divsChild>
                                                                        <w:div w:id="8206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293484">
      <w:bodyDiv w:val="1"/>
      <w:marLeft w:val="0"/>
      <w:marRight w:val="0"/>
      <w:marTop w:val="0"/>
      <w:marBottom w:val="0"/>
      <w:divBdr>
        <w:top w:val="none" w:sz="0" w:space="0" w:color="auto"/>
        <w:left w:val="none" w:sz="0" w:space="0" w:color="auto"/>
        <w:bottom w:val="none" w:sz="0" w:space="0" w:color="auto"/>
        <w:right w:val="none" w:sz="0" w:space="0" w:color="auto"/>
      </w:divBdr>
    </w:div>
    <w:div w:id="1390571045">
      <w:bodyDiv w:val="1"/>
      <w:marLeft w:val="0"/>
      <w:marRight w:val="0"/>
      <w:marTop w:val="0"/>
      <w:marBottom w:val="0"/>
      <w:divBdr>
        <w:top w:val="none" w:sz="0" w:space="0" w:color="auto"/>
        <w:left w:val="none" w:sz="0" w:space="0" w:color="auto"/>
        <w:bottom w:val="none" w:sz="0" w:space="0" w:color="auto"/>
        <w:right w:val="none" w:sz="0" w:space="0" w:color="auto"/>
      </w:divBdr>
      <w:divsChild>
        <w:div w:id="2034374849">
          <w:marLeft w:val="0"/>
          <w:marRight w:val="0"/>
          <w:marTop w:val="0"/>
          <w:marBottom w:val="0"/>
          <w:divBdr>
            <w:top w:val="none" w:sz="0" w:space="0" w:color="auto"/>
            <w:left w:val="none" w:sz="0" w:space="0" w:color="auto"/>
            <w:bottom w:val="none" w:sz="0" w:space="0" w:color="auto"/>
            <w:right w:val="none" w:sz="0" w:space="0" w:color="auto"/>
          </w:divBdr>
        </w:div>
        <w:div w:id="1030494716">
          <w:marLeft w:val="0"/>
          <w:marRight w:val="0"/>
          <w:marTop w:val="0"/>
          <w:marBottom w:val="0"/>
          <w:divBdr>
            <w:top w:val="none" w:sz="0" w:space="0" w:color="auto"/>
            <w:left w:val="none" w:sz="0" w:space="0" w:color="auto"/>
            <w:bottom w:val="none" w:sz="0" w:space="0" w:color="auto"/>
            <w:right w:val="none" w:sz="0" w:space="0" w:color="auto"/>
          </w:divBdr>
        </w:div>
        <w:div w:id="1724212103">
          <w:marLeft w:val="0"/>
          <w:marRight w:val="0"/>
          <w:marTop w:val="0"/>
          <w:marBottom w:val="0"/>
          <w:divBdr>
            <w:top w:val="none" w:sz="0" w:space="0" w:color="auto"/>
            <w:left w:val="none" w:sz="0" w:space="0" w:color="auto"/>
            <w:bottom w:val="none" w:sz="0" w:space="0" w:color="auto"/>
            <w:right w:val="none" w:sz="0" w:space="0" w:color="auto"/>
          </w:divBdr>
        </w:div>
      </w:divsChild>
    </w:div>
    <w:div w:id="1458601488">
      <w:bodyDiv w:val="1"/>
      <w:marLeft w:val="0"/>
      <w:marRight w:val="0"/>
      <w:marTop w:val="0"/>
      <w:marBottom w:val="0"/>
      <w:divBdr>
        <w:top w:val="none" w:sz="0" w:space="0" w:color="auto"/>
        <w:left w:val="none" w:sz="0" w:space="0" w:color="auto"/>
        <w:bottom w:val="none" w:sz="0" w:space="0" w:color="auto"/>
        <w:right w:val="none" w:sz="0" w:space="0" w:color="auto"/>
      </w:divBdr>
      <w:divsChild>
        <w:div w:id="873805269">
          <w:marLeft w:val="0"/>
          <w:marRight w:val="0"/>
          <w:marTop w:val="0"/>
          <w:marBottom w:val="0"/>
          <w:divBdr>
            <w:top w:val="none" w:sz="0" w:space="0" w:color="auto"/>
            <w:left w:val="none" w:sz="0" w:space="0" w:color="auto"/>
            <w:bottom w:val="none" w:sz="0" w:space="0" w:color="auto"/>
            <w:right w:val="none" w:sz="0" w:space="0" w:color="auto"/>
          </w:divBdr>
          <w:divsChild>
            <w:div w:id="19281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4999">
      <w:bodyDiv w:val="1"/>
      <w:marLeft w:val="0"/>
      <w:marRight w:val="0"/>
      <w:marTop w:val="0"/>
      <w:marBottom w:val="0"/>
      <w:divBdr>
        <w:top w:val="none" w:sz="0" w:space="0" w:color="auto"/>
        <w:left w:val="none" w:sz="0" w:space="0" w:color="auto"/>
        <w:bottom w:val="none" w:sz="0" w:space="0" w:color="auto"/>
        <w:right w:val="none" w:sz="0" w:space="0" w:color="auto"/>
      </w:divBdr>
    </w:div>
    <w:div w:id="1659456339">
      <w:bodyDiv w:val="1"/>
      <w:marLeft w:val="0"/>
      <w:marRight w:val="0"/>
      <w:marTop w:val="0"/>
      <w:marBottom w:val="0"/>
      <w:divBdr>
        <w:top w:val="none" w:sz="0" w:space="0" w:color="auto"/>
        <w:left w:val="none" w:sz="0" w:space="0" w:color="auto"/>
        <w:bottom w:val="none" w:sz="0" w:space="0" w:color="auto"/>
        <w:right w:val="none" w:sz="0" w:space="0" w:color="auto"/>
      </w:divBdr>
      <w:divsChild>
        <w:div w:id="2024669397">
          <w:marLeft w:val="0"/>
          <w:marRight w:val="0"/>
          <w:marTop w:val="0"/>
          <w:marBottom w:val="0"/>
          <w:divBdr>
            <w:top w:val="none" w:sz="0" w:space="0" w:color="auto"/>
            <w:left w:val="none" w:sz="0" w:space="0" w:color="auto"/>
            <w:bottom w:val="none" w:sz="0" w:space="0" w:color="auto"/>
            <w:right w:val="none" w:sz="0" w:space="0" w:color="auto"/>
          </w:divBdr>
          <w:divsChild>
            <w:div w:id="5161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arxiv.com/z76qj/" TargetMode="External"/><Relationship Id="rId13" Type="http://schemas.openxmlformats.org/officeDocument/2006/relationships/hyperlink" Target="https://www.england.nhs.uk/mental-health/case-studies/mental-health-trusts-work-in-partnership-to-support-people-affected-by-eating-disord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36/bmj.n248" TargetMode="External"/><Relationship Id="rId12" Type="http://schemas.openxmlformats.org/officeDocument/2006/relationships/hyperlink" Target="https://www.england.nhs.uk/mental-health/nhs-led-provider-collaborativ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supplementary-information/2021/hospital-admissions-for-eating-disorders-2016-2020" TargetMode="External"/><Relationship Id="rId5" Type="http://schemas.openxmlformats.org/officeDocument/2006/relationships/footnotes" Target="footnotes.xml"/><Relationship Id="rId15" Type="http://schemas.openxmlformats.org/officeDocument/2006/relationships/hyperlink" Target="mailto:david.viljoen@oxfordhealth.nhs.uk" TargetMode="External"/><Relationship Id="rId10" Type="http://schemas.openxmlformats.org/officeDocument/2006/relationships/hyperlink" Target="https://digital.nhs.uk/data-and-information/publications/statistical/health-survey-for-england/2019/health-survey-for-england-2019-data-tables" TargetMode="External"/><Relationship Id="rId4" Type="http://schemas.openxmlformats.org/officeDocument/2006/relationships/webSettings" Target="webSettings.xml"/><Relationship Id="rId9" Type="http://schemas.openxmlformats.org/officeDocument/2006/relationships/hyperlink" Target="https://doi.org/10.1136/bmj.k2791" TargetMode="External"/><Relationship Id="rId14" Type="http://schemas.openxmlformats.org/officeDocument/2006/relationships/hyperlink" Target="https://www.centreformentalhealth.org.uk/sites/default/files/2020-03/CentreforMH_BringingCareBackHom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SODEKE-GREGSON, Ayo (BARNET, ENFIELD AND HARINGEY MENTAL HEALTH NHS TRUST)</dc:creator>
  <cp:keywords/>
  <dc:description/>
  <cp:lastModifiedBy>Viljoen David (RNU) Oxford Health</cp:lastModifiedBy>
  <cp:revision>3</cp:revision>
  <dcterms:created xsi:type="dcterms:W3CDTF">2021-08-09T17:55:00Z</dcterms:created>
  <dcterms:modified xsi:type="dcterms:W3CDTF">2021-08-09T17:55:00Z</dcterms:modified>
</cp:coreProperties>
</file>