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9D8" w:rsidRPr="00622851" w:rsidRDefault="005359D8" w:rsidP="00E234F5">
      <w:pPr>
        <w:keepNext/>
        <w:keepLines/>
        <w:spacing w:before="120" w:after="200" w:line="276" w:lineRule="auto"/>
        <w:jc w:val="center"/>
        <w:outlineLvl w:val="0"/>
        <w:rPr>
          <w:rFonts w:ascii="Calibri" w:eastAsia="MS Gothic" w:hAnsi="Calibri" w:cs="Times New Roman"/>
          <w:b/>
          <w:bCs/>
          <w:color w:val="000000"/>
          <w:lang w:eastAsia="en-GB"/>
        </w:rPr>
      </w:pPr>
      <w:r w:rsidRPr="00622851">
        <w:rPr>
          <w:rFonts w:ascii="Calibri" w:eastAsia="MS Gothic" w:hAnsi="Calibri" w:cs="Times New Roman"/>
          <w:b/>
          <w:bCs/>
          <w:color w:val="000000"/>
          <w:lang w:eastAsia="en-GB"/>
        </w:rPr>
        <w:t>Allostatic load as a predictor of grey matter volume and white matter integrity in old age: The Whitehall II MRI study</w:t>
      </w:r>
    </w:p>
    <w:p w:rsidR="005359D8" w:rsidRPr="00512D8C" w:rsidRDefault="005359D8" w:rsidP="00E234F5">
      <w:pPr>
        <w:rPr>
          <w:rFonts w:ascii="Calibri" w:eastAsia="MS Gothic" w:hAnsi="Calibri" w:cs="Times New Roman"/>
          <w:bCs/>
          <w:color w:val="000000"/>
          <w:sz w:val="22"/>
          <w:szCs w:val="22"/>
          <w:lang w:eastAsia="en-GB"/>
        </w:rPr>
      </w:pPr>
    </w:p>
    <w:p w:rsidR="005359D8" w:rsidRPr="00753C75" w:rsidRDefault="005359D8" w:rsidP="00576A5A">
      <w:pPr>
        <w:rPr>
          <w:rFonts w:asciiTheme="majorHAnsi" w:eastAsiaTheme="majorEastAsia" w:hAnsiTheme="majorHAnsi" w:cstheme="majorBidi"/>
          <w:bCs/>
          <w:color w:val="000000" w:themeColor="text1"/>
          <w:sz w:val="22"/>
          <w:szCs w:val="22"/>
        </w:rPr>
      </w:pPr>
      <w:r w:rsidRPr="00753C75">
        <w:rPr>
          <w:rFonts w:asciiTheme="majorHAnsi" w:eastAsiaTheme="majorEastAsia" w:hAnsiTheme="majorHAnsi" w:cstheme="majorBidi"/>
          <w:bCs/>
          <w:color w:val="000000" w:themeColor="text1"/>
          <w:sz w:val="22"/>
          <w:szCs w:val="22"/>
        </w:rPr>
        <w:t>Enikő Zsoldos*</w:t>
      </w:r>
      <w:r w:rsidRPr="00753C75">
        <w:rPr>
          <w:rFonts w:asciiTheme="majorHAnsi" w:eastAsiaTheme="majorEastAsia" w:hAnsiTheme="majorHAnsi" w:cstheme="majorBidi"/>
          <w:bCs/>
          <w:color w:val="000000" w:themeColor="text1"/>
          <w:sz w:val="22"/>
          <w:szCs w:val="22"/>
          <w:vertAlign w:val="superscript"/>
        </w:rPr>
        <w:t>1,2</w:t>
      </w:r>
      <w:r w:rsidRPr="00753C75">
        <w:rPr>
          <w:rFonts w:asciiTheme="majorHAnsi" w:eastAsiaTheme="majorEastAsia" w:hAnsiTheme="majorHAnsi" w:cstheme="majorBidi"/>
          <w:bCs/>
          <w:color w:val="000000" w:themeColor="text1"/>
          <w:sz w:val="22"/>
          <w:szCs w:val="22"/>
        </w:rPr>
        <w:t>, DPhil, Nicola Filippini</w:t>
      </w:r>
      <w:r w:rsidRPr="00753C75">
        <w:rPr>
          <w:rFonts w:asciiTheme="majorHAnsi" w:eastAsiaTheme="majorEastAsia" w:hAnsiTheme="majorHAnsi" w:cstheme="majorBidi"/>
          <w:bCs/>
          <w:color w:val="000000" w:themeColor="text1"/>
          <w:sz w:val="22"/>
          <w:szCs w:val="22"/>
          <w:vertAlign w:val="superscript"/>
        </w:rPr>
        <w:t>1,2</w:t>
      </w:r>
      <w:r w:rsidRPr="00753C75">
        <w:rPr>
          <w:rFonts w:asciiTheme="majorHAnsi" w:eastAsiaTheme="majorEastAsia" w:hAnsiTheme="majorHAnsi" w:cstheme="majorBidi"/>
          <w:bCs/>
          <w:color w:val="000000" w:themeColor="text1"/>
          <w:sz w:val="22"/>
          <w:szCs w:val="22"/>
        </w:rPr>
        <w:t>, DPhil, Abda Mahmood</w:t>
      </w:r>
      <w:r w:rsidRPr="00753C75">
        <w:rPr>
          <w:rFonts w:asciiTheme="majorHAnsi" w:eastAsiaTheme="majorEastAsia" w:hAnsiTheme="majorHAnsi" w:cstheme="majorBidi"/>
          <w:bCs/>
          <w:color w:val="000000" w:themeColor="text1"/>
          <w:sz w:val="22"/>
          <w:szCs w:val="22"/>
          <w:vertAlign w:val="superscript"/>
        </w:rPr>
        <w:t>1</w:t>
      </w:r>
      <w:r w:rsidRPr="00753C75">
        <w:rPr>
          <w:rFonts w:asciiTheme="majorHAnsi" w:eastAsiaTheme="majorEastAsia" w:hAnsiTheme="majorHAnsi" w:cstheme="majorBidi"/>
          <w:bCs/>
          <w:color w:val="000000" w:themeColor="text1"/>
          <w:sz w:val="22"/>
          <w:szCs w:val="22"/>
        </w:rPr>
        <w:t>, MSc</w:t>
      </w:r>
      <w:r w:rsidRPr="00E31DD8">
        <w:rPr>
          <w:rFonts w:asciiTheme="majorHAnsi" w:eastAsiaTheme="majorEastAsia" w:hAnsiTheme="majorHAnsi" w:cstheme="majorBidi"/>
          <w:bCs/>
          <w:color w:val="000000" w:themeColor="text1"/>
          <w:sz w:val="22"/>
          <w:szCs w:val="22"/>
        </w:rPr>
        <w:t>, Clare E Mackay</w:t>
      </w:r>
      <w:r w:rsidRPr="00E31DD8">
        <w:rPr>
          <w:rFonts w:asciiTheme="majorHAnsi" w:eastAsiaTheme="majorEastAsia" w:hAnsiTheme="majorHAnsi" w:cstheme="majorBidi"/>
          <w:bCs/>
          <w:color w:val="000000" w:themeColor="text1"/>
          <w:sz w:val="22"/>
          <w:szCs w:val="22"/>
          <w:vertAlign w:val="superscript"/>
        </w:rPr>
        <w:t>1,</w:t>
      </w:r>
      <w:r>
        <w:rPr>
          <w:rFonts w:asciiTheme="majorHAnsi" w:eastAsiaTheme="majorEastAsia" w:hAnsiTheme="majorHAnsi" w:cstheme="majorBidi"/>
          <w:bCs/>
          <w:color w:val="000000" w:themeColor="text1"/>
          <w:sz w:val="22"/>
          <w:szCs w:val="22"/>
          <w:vertAlign w:val="superscript"/>
        </w:rPr>
        <w:t>3</w:t>
      </w:r>
      <w:r w:rsidRPr="00753C75">
        <w:rPr>
          <w:rFonts w:asciiTheme="majorHAnsi" w:eastAsiaTheme="majorEastAsia" w:hAnsiTheme="majorHAnsi" w:cstheme="majorBidi"/>
          <w:bCs/>
          <w:color w:val="000000" w:themeColor="text1"/>
          <w:sz w:val="22"/>
          <w:szCs w:val="22"/>
        </w:rPr>
        <w:t>, PhD, Archana Singh-Manoux</w:t>
      </w:r>
      <w:r>
        <w:rPr>
          <w:rFonts w:asciiTheme="majorHAnsi" w:eastAsiaTheme="majorEastAsia" w:hAnsiTheme="majorHAnsi" w:cstheme="majorBidi"/>
          <w:bCs/>
          <w:color w:val="000000" w:themeColor="text1"/>
          <w:sz w:val="22"/>
          <w:szCs w:val="22"/>
          <w:vertAlign w:val="superscript"/>
        </w:rPr>
        <w:t>4</w:t>
      </w:r>
      <w:r w:rsidRPr="00753C75">
        <w:rPr>
          <w:rFonts w:asciiTheme="majorHAnsi" w:eastAsiaTheme="majorEastAsia" w:hAnsiTheme="majorHAnsi" w:cstheme="majorBidi"/>
          <w:bCs/>
          <w:color w:val="000000" w:themeColor="text1"/>
          <w:sz w:val="22"/>
          <w:szCs w:val="22"/>
          <w:vertAlign w:val="superscript"/>
        </w:rPr>
        <w:t>,</w:t>
      </w:r>
      <w:r>
        <w:rPr>
          <w:rFonts w:asciiTheme="majorHAnsi" w:eastAsiaTheme="majorEastAsia" w:hAnsiTheme="majorHAnsi" w:cstheme="majorBidi"/>
          <w:bCs/>
          <w:color w:val="000000" w:themeColor="text1"/>
          <w:sz w:val="22"/>
          <w:szCs w:val="22"/>
          <w:vertAlign w:val="superscript"/>
        </w:rPr>
        <w:t>5</w:t>
      </w:r>
      <w:r w:rsidRPr="00753C75">
        <w:rPr>
          <w:rFonts w:asciiTheme="majorHAnsi" w:eastAsiaTheme="majorEastAsia" w:hAnsiTheme="majorHAnsi" w:cstheme="majorBidi"/>
          <w:bCs/>
          <w:color w:val="000000" w:themeColor="text1"/>
          <w:sz w:val="22"/>
          <w:szCs w:val="22"/>
        </w:rPr>
        <w:t>, PhD, Mika Kivimäki</w:t>
      </w:r>
      <w:r>
        <w:rPr>
          <w:rFonts w:asciiTheme="majorHAnsi" w:eastAsiaTheme="majorEastAsia" w:hAnsiTheme="majorHAnsi" w:cstheme="majorBidi"/>
          <w:bCs/>
          <w:color w:val="000000" w:themeColor="text1"/>
          <w:sz w:val="22"/>
          <w:szCs w:val="22"/>
          <w:vertAlign w:val="superscript"/>
        </w:rPr>
        <w:t>4</w:t>
      </w:r>
      <w:r w:rsidRPr="00753C75">
        <w:rPr>
          <w:rFonts w:asciiTheme="majorHAnsi" w:eastAsiaTheme="majorEastAsia" w:hAnsiTheme="majorHAnsi" w:cstheme="majorBidi"/>
          <w:bCs/>
          <w:color w:val="000000" w:themeColor="text1"/>
          <w:sz w:val="22"/>
          <w:szCs w:val="22"/>
        </w:rPr>
        <w:t>, PhD, Mark Jenkinson</w:t>
      </w:r>
      <w:r w:rsidRPr="00753C75">
        <w:rPr>
          <w:rFonts w:asciiTheme="majorHAnsi" w:eastAsiaTheme="majorEastAsia" w:hAnsiTheme="majorHAnsi" w:cstheme="majorBidi"/>
          <w:bCs/>
          <w:color w:val="000000" w:themeColor="text1"/>
          <w:sz w:val="22"/>
          <w:szCs w:val="22"/>
          <w:vertAlign w:val="superscript"/>
        </w:rPr>
        <w:t>2</w:t>
      </w:r>
      <w:r w:rsidRPr="00753C75">
        <w:rPr>
          <w:rFonts w:asciiTheme="majorHAnsi" w:eastAsiaTheme="majorEastAsia" w:hAnsiTheme="majorHAnsi" w:cstheme="majorBidi"/>
          <w:bCs/>
          <w:color w:val="000000" w:themeColor="text1"/>
          <w:sz w:val="22"/>
          <w:szCs w:val="22"/>
        </w:rPr>
        <w:t>, DPhil,</w:t>
      </w:r>
      <w:r w:rsidRPr="00753C75">
        <w:rPr>
          <w:rFonts w:asciiTheme="majorHAnsi" w:eastAsiaTheme="majorEastAsia" w:hAnsiTheme="majorHAnsi" w:cstheme="majorBidi"/>
          <w:bCs/>
          <w:color w:val="000000" w:themeColor="text1"/>
          <w:sz w:val="22"/>
          <w:szCs w:val="22"/>
          <w:vertAlign w:val="superscript"/>
        </w:rPr>
        <w:t xml:space="preserve"> </w:t>
      </w:r>
      <w:r w:rsidRPr="00753C75">
        <w:rPr>
          <w:rFonts w:asciiTheme="majorHAnsi" w:eastAsiaTheme="majorEastAsia" w:hAnsiTheme="majorHAnsi" w:cstheme="majorBidi"/>
          <w:bCs/>
          <w:color w:val="000000" w:themeColor="text1"/>
          <w:sz w:val="22"/>
          <w:szCs w:val="22"/>
        </w:rPr>
        <w:t>Klaus P Ebmeier</w:t>
      </w:r>
      <w:r w:rsidRPr="00753C75">
        <w:rPr>
          <w:rFonts w:asciiTheme="majorHAnsi" w:eastAsiaTheme="majorEastAsia" w:hAnsiTheme="majorHAnsi" w:cstheme="majorBidi"/>
          <w:bCs/>
          <w:color w:val="000000" w:themeColor="text1"/>
          <w:sz w:val="22"/>
          <w:szCs w:val="22"/>
          <w:vertAlign w:val="superscript"/>
        </w:rPr>
        <w:t>1</w:t>
      </w:r>
      <w:r w:rsidRPr="00753C75">
        <w:rPr>
          <w:rFonts w:asciiTheme="majorHAnsi" w:eastAsiaTheme="majorEastAsia" w:hAnsiTheme="majorHAnsi" w:cstheme="majorBidi"/>
          <w:bCs/>
          <w:color w:val="000000" w:themeColor="text1"/>
          <w:sz w:val="22"/>
          <w:szCs w:val="22"/>
        </w:rPr>
        <w:t xml:space="preserve">, MD </w:t>
      </w:r>
    </w:p>
    <w:p w:rsidR="005359D8" w:rsidRPr="00753C75" w:rsidRDefault="005359D8" w:rsidP="00576A5A">
      <w:pPr>
        <w:rPr>
          <w:rFonts w:asciiTheme="majorHAnsi" w:eastAsiaTheme="majorEastAsia" w:hAnsiTheme="majorHAnsi" w:cstheme="majorBidi"/>
          <w:bCs/>
          <w:color w:val="000000" w:themeColor="text1"/>
          <w:sz w:val="22"/>
          <w:szCs w:val="22"/>
        </w:rPr>
      </w:pPr>
    </w:p>
    <w:p w:rsidR="005359D8" w:rsidRPr="00753C75" w:rsidRDefault="005359D8" w:rsidP="00576A5A">
      <w:pPr>
        <w:rPr>
          <w:rFonts w:asciiTheme="majorHAnsi" w:eastAsiaTheme="majorEastAsia" w:hAnsiTheme="majorHAnsi" w:cstheme="majorBidi"/>
          <w:bCs/>
          <w:color w:val="000000" w:themeColor="text1"/>
          <w:sz w:val="22"/>
          <w:szCs w:val="22"/>
        </w:rPr>
      </w:pPr>
      <w:r w:rsidRPr="00753C75">
        <w:rPr>
          <w:rFonts w:asciiTheme="majorHAnsi" w:eastAsiaTheme="majorEastAsia" w:hAnsiTheme="majorHAnsi" w:cstheme="majorBidi"/>
          <w:bCs/>
          <w:color w:val="000000" w:themeColor="text1"/>
          <w:sz w:val="22"/>
          <w:szCs w:val="22"/>
          <w:vertAlign w:val="superscript"/>
        </w:rPr>
        <w:t>1</w:t>
      </w:r>
      <w:r w:rsidRPr="00753C75">
        <w:rPr>
          <w:rFonts w:asciiTheme="majorHAnsi" w:eastAsiaTheme="majorEastAsia" w:hAnsiTheme="majorHAnsi" w:cstheme="majorBidi"/>
          <w:bCs/>
          <w:color w:val="000000" w:themeColor="text1"/>
          <w:sz w:val="22"/>
          <w:szCs w:val="22"/>
        </w:rPr>
        <w:t>Department of Psychiatry, University of Oxford, Warneford Hospital, Oxford, OX3 7JX, UK</w:t>
      </w:r>
    </w:p>
    <w:p w:rsidR="005359D8" w:rsidRPr="00E31DD8" w:rsidRDefault="005359D8" w:rsidP="00576A5A">
      <w:pPr>
        <w:rPr>
          <w:rFonts w:asciiTheme="majorHAnsi" w:eastAsiaTheme="majorEastAsia" w:hAnsiTheme="majorHAnsi" w:cstheme="majorBidi"/>
          <w:bCs/>
          <w:color w:val="000000" w:themeColor="text1"/>
          <w:sz w:val="22"/>
          <w:szCs w:val="22"/>
        </w:rPr>
      </w:pPr>
      <w:r w:rsidRPr="00753C75">
        <w:rPr>
          <w:rFonts w:asciiTheme="majorHAnsi" w:eastAsiaTheme="majorEastAsia" w:hAnsiTheme="majorHAnsi" w:cstheme="majorBidi"/>
          <w:bCs/>
          <w:color w:val="000000" w:themeColor="text1"/>
          <w:sz w:val="22"/>
          <w:szCs w:val="22"/>
          <w:vertAlign w:val="superscript"/>
        </w:rPr>
        <w:t>2</w:t>
      </w:r>
      <w:r w:rsidRPr="00E31DD8">
        <w:rPr>
          <w:rFonts w:asciiTheme="majorHAnsi" w:eastAsiaTheme="majorEastAsia" w:hAnsiTheme="majorHAnsi" w:cstheme="majorBidi"/>
          <w:bCs/>
          <w:color w:val="000000" w:themeColor="text1"/>
          <w:sz w:val="22"/>
          <w:szCs w:val="22"/>
        </w:rPr>
        <w:t>Wellcome Centre for Integrative Neuroimaging, Oxford Centre for Functional MRI of the Brain, Nuffield Department of Clinical Neurosciences, University of Oxford, John Radcliffe Hospital, Oxford, OX3 9DU, UK</w:t>
      </w:r>
    </w:p>
    <w:p w:rsidR="005359D8" w:rsidRPr="00753C75" w:rsidRDefault="005359D8" w:rsidP="00576A5A">
      <w:pPr>
        <w:rPr>
          <w:rFonts w:asciiTheme="majorHAnsi" w:eastAsiaTheme="majorEastAsia" w:hAnsiTheme="majorHAnsi" w:cstheme="majorBidi"/>
          <w:bCs/>
          <w:color w:val="000000" w:themeColor="text1"/>
          <w:sz w:val="22"/>
          <w:szCs w:val="22"/>
        </w:rPr>
      </w:pPr>
      <w:r w:rsidRPr="00E31DD8">
        <w:rPr>
          <w:rFonts w:asciiTheme="majorHAnsi" w:eastAsiaTheme="majorEastAsia" w:hAnsiTheme="majorHAnsi" w:cstheme="majorBidi"/>
          <w:bCs/>
          <w:color w:val="000000" w:themeColor="text1"/>
          <w:sz w:val="22"/>
          <w:szCs w:val="22"/>
          <w:vertAlign w:val="superscript"/>
        </w:rPr>
        <w:t>3</w:t>
      </w:r>
      <w:r w:rsidRPr="00E31DD8">
        <w:rPr>
          <w:rFonts w:asciiTheme="majorHAnsi" w:eastAsiaTheme="majorEastAsia" w:hAnsiTheme="majorHAnsi" w:cstheme="majorBidi"/>
          <w:bCs/>
          <w:color w:val="000000" w:themeColor="text1"/>
          <w:sz w:val="22"/>
          <w:szCs w:val="22"/>
        </w:rPr>
        <w:t xml:space="preserve">Wellcome Centre for Integrative Neuroimaging, Oxford Centre for </w:t>
      </w:r>
      <w:r>
        <w:rPr>
          <w:rFonts w:asciiTheme="majorHAnsi" w:eastAsiaTheme="majorEastAsia" w:hAnsiTheme="majorHAnsi" w:cstheme="majorBidi"/>
          <w:bCs/>
          <w:color w:val="000000" w:themeColor="text1"/>
          <w:sz w:val="22"/>
          <w:szCs w:val="22"/>
        </w:rPr>
        <w:t>Human Brain Activity</w:t>
      </w:r>
      <w:r w:rsidRPr="00E31DD8">
        <w:rPr>
          <w:rFonts w:asciiTheme="majorHAnsi" w:eastAsiaTheme="majorEastAsia" w:hAnsiTheme="majorHAnsi" w:cstheme="majorBidi"/>
          <w:bCs/>
          <w:color w:val="000000" w:themeColor="text1"/>
          <w:sz w:val="22"/>
          <w:szCs w:val="22"/>
        </w:rPr>
        <w:t xml:space="preserve">, University of Oxford, </w:t>
      </w:r>
      <w:r>
        <w:rPr>
          <w:rFonts w:asciiTheme="majorHAnsi" w:eastAsiaTheme="majorEastAsia" w:hAnsiTheme="majorHAnsi" w:cstheme="majorBidi"/>
          <w:bCs/>
          <w:color w:val="000000" w:themeColor="text1"/>
          <w:sz w:val="22"/>
          <w:szCs w:val="22"/>
        </w:rPr>
        <w:t>Warneford Hospital</w:t>
      </w:r>
      <w:r w:rsidRPr="00E31DD8">
        <w:rPr>
          <w:rFonts w:asciiTheme="majorHAnsi" w:eastAsiaTheme="majorEastAsia" w:hAnsiTheme="majorHAnsi" w:cstheme="majorBidi"/>
          <w:bCs/>
          <w:color w:val="000000" w:themeColor="text1"/>
          <w:sz w:val="22"/>
          <w:szCs w:val="22"/>
        </w:rPr>
        <w:t>, Oxford, OX3 7JX, UK</w:t>
      </w:r>
    </w:p>
    <w:p w:rsidR="005359D8" w:rsidRPr="00753C75" w:rsidRDefault="005359D8" w:rsidP="00576A5A">
      <w:pPr>
        <w:rPr>
          <w:rFonts w:asciiTheme="majorHAnsi" w:eastAsiaTheme="majorEastAsia" w:hAnsiTheme="majorHAnsi" w:cstheme="majorBidi"/>
          <w:bCs/>
          <w:color w:val="000000" w:themeColor="text1"/>
          <w:sz w:val="22"/>
          <w:szCs w:val="22"/>
        </w:rPr>
      </w:pPr>
      <w:r>
        <w:rPr>
          <w:rFonts w:asciiTheme="majorHAnsi" w:eastAsiaTheme="majorEastAsia" w:hAnsiTheme="majorHAnsi" w:cstheme="majorBidi"/>
          <w:bCs/>
          <w:color w:val="000000" w:themeColor="text1"/>
          <w:sz w:val="22"/>
          <w:szCs w:val="22"/>
          <w:vertAlign w:val="superscript"/>
        </w:rPr>
        <w:t>4</w:t>
      </w:r>
      <w:r w:rsidRPr="00753C75">
        <w:rPr>
          <w:rFonts w:asciiTheme="majorHAnsi" w:eastAsiaTheme="majorEastAsia" w:hAnsiTheme="majorHAnsi" w:cstheme="majorBidi"/>
          <w:bCs/>
          <w:color w:val="000000" w:themeColor="text1"/>
          <w:sz w:val="22"/>
          <w:szCs w:val="22"/>
        </w:rPr>
        <w:t>Department of Epidemiology and Public Health, University College London, London, WC1E 7HB, UK</w:t>
      </w:r>
    </w:p>
    <w:p w:rsidR="005359D8" w:rsidRPr="00753C75" w:rsidRDefault="005359D8" w:rsidP="00576A5A">
      <w:pPr>
        <w:rPr>
          <w:rFonts w:asciiTheme="majorHAnsi" w:eastAsiaTheme="majorEastAsia" w:hAnsiTheme="majorHAnsi" w:cstheme="majorBidi"/>
          <w:bCs/>
          <w:color w:val="000000" w:themeColor="text1"/>
          <w:sz w:val="22"/>
          <w:szCs w:val="22"/>
        </w:rPr>
      </w:pPr>
      <w:r>
        <w:rPr>
          <w:rFonts w:asciiTheme="majorHAnsi" w:eastAsiaTheme="majorEastAsia" w:hAnsiTheme="majorHAnsi" w:cstheme="majorBidi"/>
          <w:bCs/>
          <w:color w:val="000000" w:themeColor="text1"/>
          <w:sz w:val="22"/>
          <w:szCs w:val="22"/>
          <w:vertAlign w:val="superscript"/>
        </w:rPr>
        <w:t>5</w:t>
      </w:r>
      <w:r w:rsidRPr="00753C75">
        <w:rPr>
          <w:rFonts w:asciiTheme="majorHAnsi" w:eastAsiaTheme="majorEastAsia" w:hAnsiTheme="majorHAnsi" w:cstheme="majorBidi"/>
          <w:bCs/>
          <w:color w:val="000000" w:themeColor="text1"/>
          <w:sz w:val="22"/>
          <w:szCs w:val="22"/>
        </w:rPr>
        <w:t>Centre for Research in Epidemiology and Population Health, INSERM, U1018, France</w:t>
      </w:r>
    </w:p>
    <w:p w:rsidR="005359D8" w:rsidRPr="00753C75" w:rsidRDefault="005359D8" w:rsidP="00576A5A">
      <w:pPr>
        <w:rPr>
          <w:rFonts w:asciiTheme="majorHAnsi" w:eastAsiaTheme="majorEastAsia" w:hAnsiTheme="majorHAnsi" w:cstheme="majorBidi"/>
          <w:bCs/>
          <w:color w:val="000000" w:themeColor="text1"/>
          <w:sz w:val="22"/>
          <w:szCs w:val="22"/>
        </w:rPr>
      </w:pPr>
    </w:p>
    <w:p w:rsidR="005359D8" w:rsidRPr="00753C75" w:rsidRDefault="005359D8" w:rsidP="00576A5A">
      <w:pPr>
        <w:rPr>
          <w:rFonts w:asciiTheme="majorHAnsi" w:eastAsiaTheme="majorEastAsia" w:hAnsiTheme="majorHAnsi" w:cstheme="majorBidi"/>
          <w:bCs/>
          <w:color w:val="000000" w:themeColor="text1"/>
          <w:sz w:val="22"/>
          <w:szCs w:val="22"/>
        </w:rPr>
      </w:pPr>
      <w:r w:rsidRPr="00753C75">
        <w:rPr>
          <w:rFonts w:asciiTheme="majorHAnsi" w:eastAsiaTheme="majorEastAsia" w:hAnsiTheme="majorHAnsi" w:cstheme="majorBidi"/>
          <w:bCs/>
          <w:color w:val="000000" w:themeColor="text1"/>
          <w:sz w:val="22"/>
          <w:szCs w:val="22"/>
        </w:rPr>
        <w:t>*Corresponding Author: Dr Enikő Zsoldos, Department of Psychiatry, University of Oxford, Warneford Hospital, Oxford, OX3 7JX, UK, e-mail: eniko.zsoldos@psych.ox.ac.uk</w:t>
      </w:r>
    </w:p>
    <w:p w:rsidR="005359D8" w:rsidRDefault="005359D8">
      <w:pPr>
        <w:rPr>
          <w:lang w:val="en-US"/>
        </w:rPr>
      </w:pPr>
    </w:p>
    <w:p w:rsidR="005359D8" w:rsidRDefault="005359D8">
      <w:pPr>
        <w:rPr>
          <w:lang w:val="en-US"/>
        </w:rPr>
      </w:pPr>
    </w:p>
    <w:p w:rsidR="005359D8" w:rsidRDefault="005359D8">
      <w:pPr>
        <w:rPr>
          <w:lang w:val="en-US"/>
        </w:rPr>
      </w:pPr>
      <w:r>
        <w:rPr>
          <w:lang w:val="en-US"/>
        </w:rPr>
        <w:br w:type="page"/>
      </w:r>
    </w:p>
    <w:p w:rsidR="005359D8" w:rsidRDefault="005359D8" w:rsidP="0090269D">
      <w:pPr>
        <w:rPr>
          <w:lang w:val="en-US"/>
        </w:rPr>
      </w:pPr>
      <w:r>
        <w:rPr>
          <w:lang w:val="en-US"/>
        </w:rPr>
        <w:lastRenderedPageBreak/>
        <w:t xml:space="preserve">Supplementary Text S1. Assessment of markers and nuisance variables </w:t>
      </w:r>
    </w:p>
    <w:p w:rsidR="005359D8" w:rsidRDefault="005359D8" w:rsidP="0090269D">
      <w:pPr>
        <w:rPr>
          <w:lang w:val="en-US"/>
        </w:rPr>
      </w:pPr>
    </w:p>
    <w:p w:rsidR="005359D8" w:rsidRPr="00864865" w:rsidRDefault="005359D8" w:rsidP="0090269D">
      <w:pPr>
        <w:keepNext/>
        <w:keepLines/>
        <w:numPr>
          <w:ilvl w:val="2"/>
          <w:numId w:val="0"/>
        </w:numPr>
        <w:spacing w:before="120" w:after="200"/>
        <w:ind w:left="720" w:hanging="720"/>
        <w:outlineLvl w:val="2"/>
        <w:rPr>
          <w:rFonts w:ascii="Calibri" w:eastAsia="MS Gothic" w:hAnsi="Calibri" w:cs="Times New Roman"/>
          <w:b/>
          <w:bCs/>
          <w:color w:val="000000"/>
          <w:sz w:val="22"/>
          <w:szCs w:val="22"/>
          <w:lang w:val="en-US" w:eastAsia="en-GB"/>
        </w:rPr>
      </w:pPr>
      <w:r w:rsidRPr="00864865">
        <w:rPr>
          <w:rFonts w:ascii="Calibri" w:eastAsia="MS Gothic" w:hAnsi="Calibri" w:cs="Times New Roman"/>
          <w:b/>
          <w:bCs/>
          <w:color w:val="000000"/>
          <w:sz w:val="22"/>
          <w:szCs w:val="22"/>
          <w:lang w:val="en-US" w:eastAsia="en-GB"/>
        </w:rPr>
        <w:t>Framingham stroke risk score</w:t>
      </w:r>
    </w:p>
    <w:p w:rsidR="005359D8" w:rsidRPr="00864865" w:rsidRDefault="005359D8" w:rsidP="0090269D">
      <w:pPr>
        <w:spacing w:line="480" w:lineRule="auto"/>
        <w:rPr>
          <w:rFonts w:ascii="Calibri" w:eastAsia="MS Mincho" w:hAnsi="Calibri" w:cs="Times New Roman"/>
          <w:color w:val="000000"/>
          <w:sz w:val="22"/>
          <w:szCs w:val="22"/>
          <w:lang w:val="en-US" w:eastAsia="en-GB"/>
        </w:rPr>
      </w:pPr>
      <w:r w:rsidRPr="00864865">
        <w:rPr>
          <w:rFonts w:ascii="Calibri" w:eastAsia="MS Mincho" w:hAnsi="Calibri" w:cs="Times New Roman"/>
          <w:color w:val="000000"/>
          <w:sz w:val="22"/>
          <w:szCs w:val="22"/>
          <w:lang w:val="en-US" w:eastAsia="en-GB"/>
        </w:rPr>
        <w:t>The Framingham stroke risk score (FSRS) is a sex-specific stroke risk appraisal function that empirically relates cardiovascular risk factors to the probability of a stroke within 10 years</w:t>
      </w:r>
      <w:r>
        <w:rPr>
          <w:rFonts w:ascii="Calibri" w:eastAsia="MS Mincho" w:hAnsi="Calibri" w:cs="Times New Roman"/>
          <w:color w:val="000000"/>
          <w:sz w:val="22"/>
          <w:szCs w:val="22"/>
          <w:lang w:val="en-US" w:eastAsia="en-GB"/>
        </w:rPr>
        <w:t>.</w:t>
      </w:r>
      <w:r w:rsidRPr="005F171C">
        <w:rPr>
          <w:rFonts w:ascii="Calibri" w:eastAsia="MS Mincho" w:hAnsi="Calibri" w:cs="Times New Roman"/>
          <w:noProof/>
          <w:color w:val="000000"/>
          <w:sz w:val="22"/>
          <w:szCs w:val="22"/>
          <w:vertAlign w:val="superscript"/>
          <w:lang w:val="en-US" w:eastAsia="en-GB"/>
        </w:rPr>
        <w:t>1</w:t>
      </w:r>
      <w:r w:rsidRPr="00864865">
        <w:rPr>
          <w:rFonts w:ascii="Calibri" w:eastAsia="MS Mincho" w:hAnsi="Calibri" w:cs="Times New Roman"/>
          <w:color w:val="000000"/>
          <w:sz w:val="22"/>
          <w:szCs w:val="22"/>
          <w:lang w:val="en-US" w:eastAsia="en-GB"/>
        </w:rPr>
        <w:t xml:space="preserve"> Risk factors include cardiovascular health (systolic blood pressure, prior cardiovascular disease, atrial fibrillation, left ventricular hypertrophy, antihypertensive medication), diabetes mellitus, smoking habits, sex and age. The percentage risk score was computed using beta coefficients based on the Cox proportional hazards regression model in the Framingham study. The sum of risk at </w:t>
      </w:r>
      <w:r>
        <w:rPr>
          <w:rFonts w:ascii="Calibri" w:eastAsia="MS Mincho" w:hAnsi="Calibri" w:cs="Times New Roman"/>
          <w:color w:val="000000"/>
          <w:sz w:val="22"/>
          <w:szCs w:val="22"/>
          <w:lang w:val="en-US" w:eastAsia="en-GB"/>
        </w:rPr>
        <w:t>Phase</w:t>
      </w:r>
      <w:r w:rsidRPr="00864865">
        <w:rPr>
          <w:rFonts w:ascii="Calibri" w:eastAsia="MS Mincho" w:hAnsi="Calibri" w:cs="Times New Roman"/>
          <w:color w:val="000000"/>
          <w:sz w:val="22"/>
          <w:szCs w:val="22"/>
          <w:lang w:val="en-US" w:eastAsia="en-GB"/>
        </w:rPr>
        <w:t xml:space="preserve"> 3 and </w:t>
      </w:r>
      <w:r>
        <w:rPr>
          <w:rFonts w:ascii="Calibri" w:eastAsia="MS Mincho" w:hAnsi="Calibri" w:cs="Times New Roman"/>
          <w:color w:val="000000"/>
          <w:sz w:val="22"/>
          <w:szCs w:val="22"/>
          <w:lang w:val="en-US" w:eastAsia="en-GB"/>
        </w:rPr>
        <w:t xml:space="preserve">Phase </w:t>
      </w:r>
      <w:r w:rsidRPr="00864865">
        <w:rPr>
          <w:rFonts w:ascii="Calibri" w:eastAsia="MS Mincho" w:hAnsi="Calibri" w:cs="Times New Roman"/>
          <w:color w:val="000000"/>
          <w:sz w:val="22"/>
          <w:szCs w:val="22"/>
          <w:lang w:val="en-US" w:eastAsia="en-GB"/>
        </w:rPr>
        <w:t xml:space="preserve">7 was entered into analyses. </w:t>
      </w:r>
    </w:p>
    <w:p w:rsidR="005359D8" w:rsidRPr="00864865" w:rsidRDefault="005359D8" w:rsidP="0090269D">
      <w:pPr>
        <w:keepNext/>
        <w:keepLines/>
        <w:numPr>
          <w:ilvl w:val="2"/>
          <w:numId w:val="0"/>
        </w:numPr>
        <w:spacing w:before="120" w:after="200"/>
        <w:ind w:left="720" w:hanging="720"/>
        <w:outlineLvl w:val="2"/>
        <w:rPr>
          <w:rFonts w:ascii="Calibri" w:eastAsia="MS Gothic" w:hAnsi="Calibri" w:cs="Times New Roman"/>
          <w:b/>
          <w:bCs/>
          <w:color w:val="000000"/>
          <w:sz w:val="22"/>
          <w:szCs w:val="22"/>
          <w:lang w:val="en-US" w:eastAsia="en-GB"/>
        </w:rPr>
      </w:pPr>
      <w:r w:rsidRPr="00864865">
        <w:rPr>
          <w:rFonts w:ascii="Calibri" w:eastAsia="MS Gothic" w:hAnsi="Calibri" w:cs="Times New Roman"/>
          <w:b/>
          <w:bCs/>
          <w:color w:val="000000"/>
          <w:sz w:val="22"/>
          <w:szCs w:val="22"/>
          <w:lang w:val="en-US" w:eastAsia="en-GB"/>
        </w:rPr>
        <w:t xml:space="preserve">Metabolic syndrome </w:t>
      </w:r>
    </w:p>
    <w:p w:rsidR="005359D8" w:rsidRPr="00864865" w:rsidRDefault="005359D8" w:rsidP="0090269D">
      <w:pPr>
        <w:spacing w:before="240" w:line="480" w:lineRule="auto"/>
        <w:rPr>
          <w:rFonts w:ascii="Calibri" w:eastAsia="MS Mincho" w:hAnsi="Calibri" w:cs="Times New Roman"/>
          <w:color w:val="000000"/>
          <w:sz w:val="22"/>
          <w:szCs w:val="22"/>
          <w:lang w:val="en-US" w:eastAsia="en-GB"/>
        </w:rPr>
      </w:pPr>
      <w:r w:rsidRPr="00864865">
        <w:rPr>
          <w:rFonts w:ascii="Calibri" w:eastAsia="MS Mincho" w:hAnsi="Calibri" w:cs="Times New Roman"/>
          <w:color w:val="000000"/>
          <w:sz w:val="22"/>
          <w:szCs w:val="22"/>
          <w:lang w:val="en-US" w:eastAsia="en-GB"/>
        </w:rPr>
        <w:t>Metabolic syndrome (MetS) was defined using the National Cholest</w:t>
      </w:r>
      <w:r>
        <w:rPr>
          <w:rFonts w:ascii="Calibri" w:eastAsia="MS Mincho" w:hAnsi="Calibri" w:cs="Times New Roman"/>
          <w:color w:val="000000"/>
          <w:sz w:val="22"/>
          <w:szCs w:val="22"/>
          <w:lang w:val="en-US" w:eastAsia="en-GB"/>
        </w:rPr>
        <w:t>erol Education Program criteria,</w:t>
      </w:r>
      <w:r w:rsidRPr="005F171C">
        <w:rPr>
          <w:rFonts w:ascii="Calibri" w:eastAsia="MS Mincho" w:hAnsi="Calibri" w:cs="Times New Roman"/>
          <w:noProof/>
          <w:color w:val="000000"/>
          <w:sz w:val="22"/>
          <w:szCs w:val="22"/>
          <w:vertAlign w:val="superscript"/>
          <w:lang w:val="en-US" w:eastAsia="en-GB"/>
        </w:rPr>
        <w:t>2</w:t>
      </w:r>
      <w:r w:rsidRPr="00864865">
        <w:rPr>
          <w:rFonts w:ascii="Calibri" w:eastAsia="MS Mincho" w:hAnsi="Calibri" w:cs="Times New Roman"/>
          <w:color w:val="000000"/>
          <w:sz w:val="22"/>
          <w:szCs w:val="22"/>
          <w:lang w:val="en-US" w:eastAsia="en-GB"/>
        </w:rPr>
        <w:t xml:space="preserve"> based on the presence of at least three of the following five components: blood pressure: </w:t>
      </w:r>
      <w:r w:rsidRPr="00864865">
        <w:rPr>
          <w:rFonts w:ascii="Calibri" w:eastAsia="Times New Roman" w:hAnsi="Calibri" w:cs="Times New Roman"/>
          <w:color w:val="000000"/>
          <w:sz w:val="22"/>
          <w:szCs w:val="22"/>
          <w:lang w:val="en-US" w:eastAsia="en-GB"/>
        </w:rPr>
        <w:t>≥ 130/85 mmHg or use of antihypertensive medication, waist circumference (abdominal obesity): men &gt; 102 cm, women &gt; 88 cm, fasting glucose: ≥ 6.11 mmol/L, HDL cholesterol: men &lt; 1.03 mmol/L, women &lt; 1.30 mmol/L, and serum triglycerides: ≥ 1.70 mmol/L (Table 1)</w:t>
      </w:r>
      <w:r w:rsidRPr="00864865">
        <w:rPr>
          <w:rFonts w:ascii="Calibri" w:eastAsia="MS Mincho" w:hAnsi="Calibri" w:cs="Times New Roman"/>
          <w:color w:val="000000"/>
          <w:sz w:val="22"/>
          <w:szCs w:val="22"/>
          <w:lang w:val="en-US" w:eastAsia="en-GB"/>
        </w:rPr>
        <w:t xml:space="preserve">. A binarized (yes/no) score was given if the criteria were met at a single phase before summing the binary scores of the two phases. </w:t>
      </w:r>
    </w:p>
    <w:p w:rsidR="005359D8" w:rsidRPr="00864865" w:rsidRDefault="005359D8" w:rsidP="0090269D">
      <w:pPr>
        <w:keepNext/>
        <w:keepLines/>
        <w:numPr>
          <w:ilvl w:val="2"/>
          <w:numId w:val="0"/>
        </w:numPr>
        <w:spacing w:before="120" w:after="200"/>
        <w:ind w:left="720" w:hanging="720"/>
        <w:outlineLvl w:val="2"/>
        <w:rPr>
          <w:rFonts w:ascii="Calibri" w:eastAsia="MS Gothic" w:hAnsi="Calibri" w:cs="Times New Roman"/>
          <w:b/>
          <w:bCs/>
          <w:color w:val="000000"/>
          <w:sz w:val="22"/>
          <w:szCs w:val="22"/>
          <w:lang w:val="en-US" w:eastAsia="en-GB"/>
        </w:rPr>
      </w:pPr>
      <w:r w:rsidRPr="00864865">
        <w:rPr>
          <w:rFonts w:ascii="Calibri" w:eastAsia="MS Gothic" w:hAnsi="Calibri" w:cs="Times New Roman"/>
          <w:b/>
          <w:bCs/>
          <w:color w:val="000000"/>
          <w:sz w:val="22"/>
          <w:szCs w:val="22"/>
          <w:lang w:val="en-US" w:eastAsia="en-GB"/>
        </w:rPr>
        <w:t>Allostatic load index</w:t>
      </w:r>
    </w:p>
    <w:p w:rsidR="005359D8" w:rsidRPr="00864865" w:rsidRDefault="005359D8" w:rsidP="0090269D">
      <w:pPr>
        <w:spacing w:after="240" w:line="480" w:lineRule="auto"/>
        <w:rPr>
          <w:rFonts w:ascii="Calibri" w:eastAsia="MS Mincho" w:hAnsi="Calibri" w:cs="Times New Roman"/>
          <w:color w:val="000000"/>
          <w:sz w:val="22"/>
          <w:szCs w:val="22"/>
          <w:lang w:val="en-US" w:eastAsia="en-GB"/>
        </w:rPr>
      </w:pPr>
      <w:r w:rsidRPr="00864865">
        <w:rPr>
          <w:rFonts w:ascii="Calibri" w:eastAsia="MS Mincho" w:hAnsi="Calibri" w:cs="Times New Roman"/>
          <w:color w:val="000000"/>
          <w:sz w:val="22"/>
          <w:szCs w:val="22"/>
          <w:lang w:val="en-US" w:eastAsia="en-GB"/>
        </w:rPr>
        <w:t>Allostatic load (AL) index was defined as the linear combination of nine physiological measures with val</w:t>
      </w:r>
      <w:r>
        <w:rPr>
          <w:rFonts w:ascii="Calibri" w:eastAsia="MS Mincho" w:hAnsi="Calibri" w:cs="Times New Roman"/>
          <w:color w:val="000000"/>
          <w:sz w:val="22"/>
          <w:szCs w:val="22"/>
          <w:lang w:val="en-US" w:eastAsia="en-GB"/>
        </w:rPr>
        <w:t>ues above a high-risk threshold.</w:t>
      </w:r>
      <w:r w:rsidRPr="005F171C">
        <w:rPr>
          <w:rFonts w:ascii="Calibri" w:eastAsia="MS Mincho" w:hAnsi="Calibri" w:cs="Times New Roman"/>
          <w:noProof/>
          <w:color w:val="000000"/>
          <w:sz w:val="22"/>
          <w:szCs w:val="22"/>
          <w:vertAlign w:val="superscript"/>
          <w:lang w:val="en-US" w:eastAsia="en-GB"/>
        </w:rPr>
        <w:t>3</w:t>
      </w:r>
      <w:r w:rsidRPr="00864865">
        <w:rPr>
          <w:rFonts w:ascii="Calibri" w:eastAsia="MS Mincho" w:hAnsi="Calibri" w:cs="Times New Roman"/>
          <w:color w:val="000000"/>
          <w:sz w:val="22"/>
          <w:szCs w:val="22"/>
          <w:lang w:val="en-US" w:eastAsia="en-GB"/>
        </w:rPr>
        <w:t xml:space="preserve"> </w:t>
      </w:r>
      <w:r>
        <w:rPr>
          <w:rFonts w:ascii="Calibri" w:eastAsia="MS Mincho" w:hAnsi="Calibri" w:cs="Times New Roman"/>
          <w:color w:val="000000"/>
          <w:sz w:val="22"/>
          <w:szCs w:val="22"/>
          <w:lang w:val="en-US" w:eastAsia="en-GB"/>
        </w:rPr>
        <w:t>Following standard practice, t</w:t>
      </w:r>
      <w:r w:rsidRPr="00864865">
        <w:rPr>
          <w:rFonts w:ascii="Calibri" w:eastAsia="MS Mincho" w:hAnsi="Calibri" w:cs="Times New Roman"/>
          <w:color w:val="000000"/>
          <w:sz w:val="22"/>
          <w:szCs w:val="22"/>
          <w:lang w:val="en-US" w:eastAsia="en-GB"/>
        </w:rPr>
        <w:t>he 75th percentile distribution-based cut-off was used, where clinically relevant cut-off norms have not been established (</w:t>
      </w:r>
      <w:r>
        <w:rPr>
          <w:rFonts w:ascii="Calibri" w:eastAsia="MS Mincho" w:hAnsi="Calibri" w:cs="Times New Roman"/>
          <w:color w:val="000000"/>
          <w:sz w:val="22"/>
          <w:szCs w:val="22"/>
          <w:lang w:val="en-US" w:eastAsia="en-GB"/>
        </w:rPr>
        <w:t>here: fasting insulin and IL-6).</w:t>
      </w:r>
      <w:r w:rsidRPr="005F171C">
        <w:rPr>
          <w:rFonts w:ascii="Calibri" w:eastAsia="MS Mincho" w:hAnsi="Calibri" w:cs="Times New Roman"/>
          <w:noProof/>
          <w:color w:val="000000"/>
          <w:sz w:val="22"/>
          <w:szCs w:val="22"/>
          <w:vertAlign w:val="superscript"/>
          <w:lang w:val="en-US" w:eastAsia="en-GB"/>
        </w:rPr>
        <w:t>4</w:t>
      </w:r>
      <w:r w:rsidRPr="00864865">
        <w:rPr>
          <w:rFonts w:ascii="Calibri" w:eastAsia="MS Mincho" w:hAnsi="Calibri" w:cs="Times New Roman"/>
          <w:color w:val="000000"/>
          <w:sz w:val="22"/>
          <w:szCs w:val="22"/>
          <w:lang w:val="en-US" w:eastAsia="en-GB"/>
        </w:rPr>
        <w:t xml:space="preserve"> AL index was defined at phases 3 and 7 based on the following components and their cut-offs: blood pressure: </w:t>
      </w:r>
      <w:r w:rsidRPr="00864865">
        <w:rPr>
          <w:rFonts w:ascii="Calibri" w:eastAsia="Times New Roman" w:hAnsi="Calibri" w:cs="Times New Roman"/>
          <w:color w:val="000000"/>
          <w:sz w:val="22"/>
          <w:szCs w:val="22"/>
          <w:lang w:val="en-US" w:eastAsia="en-GB"/>
        </w:rPr>
        <w:t>≥ 140/90 mmHg, BMI: ≥ 25 kg/mm², fasting glucose: ≥ 5.50 mmol/L, fasting insulin: ≥ 7.53 mcU/ml, high-density (HDL) lipoprotein cholesterol: &lt; 1.03 mmol/L, low-density lipoprotein (LDL) cholesterol: ≥ 3.36 mmol/L, serum triglycerides: ≥ 1.70 mmol/L, C-reactive protein (CRP): and interleukin-6 (IL-6): ≥ 1.85 pg/ml (</w:t>
      </w:r>
      <w:r>
        <w:rPr>
          <w:rFonts w:ascii="Calibri" w:eastAsia="Times New Roman" w:hAnsi="Calibri" w:cs="Times New Roman"/>
          <w:color w:val="000000"/>
          <w:sz w:val="22"/>
          <w:szCs w:val="22"/>
          <w:lang w:val="en-US" w:eastAsia="en-GB"/>
        </w:rPr>
        <w:t xml:space="preserve">Supplementary </w:t>
      </w:r>
      <w:r w:rsidRPr="00864865">
        <w:rPr>
          <w:rFonts w:ascii="Calibri" w:eastAsia="Times New Roman" w:hAnsi="Calibri" w:cs="Times New Roman"/>
          <w:color w:val="000000"/>
          <w:sz w:val="22"/>
          <w:szCs w:val="22"/>
          <w:lang w:val="en-US" w:eastAsia="en-GB"/>
        </w:rPr>
        <w:t>Table 1)</w:t>
      </w:r>
      <w:r w:rsidRPr="00864865">
        <w:rPr>
          <w:rFonts w:ascii="Calibri" w:eastAsia="MS Mincho" w:hAnsi="Calibri" w:cs="Times New Roman"/>
          <w:color w:val="000000"/>
          <w:sz w:val="22"/>
          <w:szCs w:val="22"/>
          <w:lang w:val="en-US" w:eastAsia="en-GB"/>
        </w:rPr>
        <w:t xml:space="preserve">. An elevated level of each measure carries more risk, except in case of HDL cholesterol. The same cut-off values </w:t>
      </w:r>
      <w:r w:rsidRPr="00864865">
        <w:rPr>
          <w:rFonts w:ascii="Calibri" w:eastAsia="MS Mincho" w:hAnsi="Calibri" w:cs="Times New Roman"/>
          <w:color w:val="000000"/>
          <w:sz w:val="22"/>
          <w:szCs w:val="22"/>
          <w:lang w:val="en-US" w:eastAsia="en-GB"/>
        </w:rPr>
        <w:lastRenderedPageBreak/>
        <w:t xml:space="preserve">were used for both phases and distribution-based cut-offs were established based on </w:t>
      </w:r>
      <w:r>
        <w:rPr>
          <w:rFonts w:ascii="Calibri" w:eastAsia="MS Mincho" w:hAnsi="Calibri" w:cs="Times New Roman"/>
          <w:color w:val="000000"/>
          <w:sz w:val="22"/>
          <w:szCs w:val="22"/>
          <w:lang w:val="en-US" w:eastAsia="en-GB"/>
        </w:rPr>
        <w:t>P</w:t>
      </w:r>
      <w:r w:rsidRPr="00864865">
        <w:rPr>
          <w:rFonts w:ascii="Calibri" w:eastAsia="MS Mincho" w:hAnsi="Calibri" w:cs="Times New Roman"/>
          <w:color w:val="000000"/>
          <w:sz w:val="22"/>
          <w:szCs w:val="22"/>
          <w:lang w:val="en-US" w:eastAsia="en-GB"/>
        </w:rPr>
        <w:t xml:space="preserve">hase 3 values. Each component was given the same weighting and was dichotomized (yes/no) based on its respective threshold. The dichotomized scores were summarized to form an AL index at each phase. </w:t>
      </w:r>
    </w:p>
    <w:p w:rsidR="005359D8" w:rsidRPr="00864865" w:rsidRDefault="005359D8" w:rsidP="0090269D">
      <w:pPr>
        <w:keepNext/>
        <w:keepLines/>
        <w:numPr>
          <w:ilvl w:val="1"/>
          <w:numId w:val="0"/>
        </w:numPr>
        <w:spacing w:before="120" w:after="200"/>
        <w:ind w:left="578" w:hanging="578"/>
        <w:outlineLvl w:val="1"/>
        <w:rPr>
          <w:rFonts w:ascii="Calibri" w:eastAsia="MS Gothic" w:hAnsi="Calibri" w:cs="Times New Roman"/>
          <w:b/>
          <w:bCs/>
          <w:color w:val="000000"/>
          <w:sz w:val="22"/>
          <w:szCs w:val="22"/>
          <w:lang w:val="en-US" w:eastAsia="en-GB"/>
        </w:rPr>
      </w:pPr>
      <w:bookmarkStart w:id="0" w:name="_Toc337462576"/>
      <w:r w:rsidRPr="00864865">
        <w:rPr>
          <w:rFonts w:ascii="Calibri" w:eastAsia="MS Gothic" w:hAnsi="Calibri" w:cs="Times New Roman"/>
          <w:b/>
          <w:bCs/>
          <w:color w:val="000000"/>
          <w:sz w:val="22"/>
          <w:szCs w:val="22"/>
          <w:lang w:val="en-US" w:eastAsia="en-GB"/>
        </w:rPr>
        <w:t>Assessment of nuisance variables</w:t>
      </w:r>
      <w:bookmarkEnd w:id="0"/>
      <w:r w:rsidRPr="00864865">
        <w:rPr>
          <w:rFonts w:ascii="Calibri" w:eastAsia="MS Gothic" w:hAnsi="Calibri" w:cs="Times New Roman"/>
          <w:b/>
          <w:bCs/>
          <w:color w:val="000000"/>
          <w:sz w:val="22"/>
          <w:szCs w:val="22"/>
          <w:lang w:val="en-US" w:eastAsia="en-GB"/>
        </w:rPr>
        <w:t xml:space="preserve"> </w:t>
      </w:r>
    </w:p>
    <w:p w:rsidR="005359D8" w:rsidRPr="00864865" w:rsidRDefault="005359D8" w:rsidP="0090269D">
      <w:pPr>
        <w:keepNext/>
        <w:keepLines/>
        <w:numPr>
          <w:ilvl w:val="2"/>
          <w:numId w:val="0"/>
        </w:numPr>
        <w:spacing w:before="120" w:after="200"/>
        <w:ind w:left="720" w:hanging="720"/>
        <w:outlineLvl w:val="2"/>
        <w:rPr>
          <w:rFonts w:ascii="Calibri" w:eastAsia="MS Gothic" w:hAnsi="Calibri" w:cs="Times New Roman"/>
          <w:b/>
          <w:bCs/>
          <w:color w:val="000000"/>
          <w:sz w:val="22"/>
          <w:szCs w:val="22"/>
          <w:lang w:val="en-US" w:eastAsia="en-GB"/>
        </w:rPr>
      </w:pPr>
      <w:r w:rsidRPr="00864865">
        <w:rPr>
          <w:rFonts w:ascii="Calibri" w:eastAsia="MS Gothic" w:hAnsi="Calibri" w:cs="Times New Roman"/>
          <w:b/>
          <w:bCs/>
          <w:color w:val="000000"/>
          <w:sz w:val="22"/>
          <w:szCs w:val="22"/>
          <w:lang w:val="en-US" w:eastAsia="en-GB"/>
        </w:rPr>
        <w:t>Markers</w:t>
      </w:r>
    </w:p>
    <w:p w:rsidR="005359D8" w:rsidRPr="00864865" w:rsidRDefault="005359D8" w:rsidP="0090269D">
      <w:pPr>
        <w:spacing w:line="480" w:lineRule="auto"/>
        <w:rPr>
          <w:rFonts w:ascii="Calibri" w:eastAsia="MS Mincho" w:hAnsi="Calibri" w:cs="Times New Roman"/>
          <w:color w:val="000000"/>
          <w:sz w:val="22"/>
          <w:szCs w:val="22"/>
          <w:lang w:val="en-US" w:eastAsia="en-GB"/>
        </w:rPr>
      </w:pPr>
      <w:r>
        <w:rPr>
          <w:rFonts w:ascii="Calibri" w:eastAsia="MS Mincho" w:hAnsi="Calibri" w:cs="Times New Roman"/>
          <w:color w:val="000000"/>
          <w:sz w:val="22"/>
          <w:szCs w:val="22"/>
          <w:lang w:val="en-US" w:eastAsia="en-GB"/>
        </w:rPr>
        <w:t>Framingham stroke risk score (FSRS), metabolic syndrome (MetS) and allostatic load</w:t>
      </w:r>
      <w:r w:rsidRPr="00864865">
        <w:rPr>
          <w:rFonts w:ascii="Calibri" w:eastAsia="MS Mincho" w:hAnsi="Calibri" w:cs="Times New Roman"/>
          <w:color w:val="000000"/>
          <w:sz w:val="22"/>
          <w:szCs w:val="22"/>
          <w:lang w:val="en-US" w:eastAsia="en-GB"/>
        </w:rPr>
        <w:t xml:space="preserve"> </w:t>
      </w:r>
      <w:r>
        <w:rPr>
          <w:rFonts w:ascii="Calibri" w:eastAsia="MS Mincho" w:hAnsi="Calibri" w:cs="Times New Roman"/>
          <w:color w:val="000000"/>
          <w:sz w:val="22"/>
          <w:szCs w:val="22"/>
          <w:lang w:val="en-US" w:eastAsia="en-GB"/>
        </w:rPr>
        <w:t xml:space="preserve">(AL) </w:t>
      </w:r>
      <w:r w:rsidRPr="00864865">
        <w:rPr>
          <w:rFonts w:ascii="Calibri" w:eastAsia="MS Mincho" w:hAnsi="Calibri" w:cs="Times New Roman"/>
          <w:color w:val="000000"/>
          <w:sz w:val="22"/>
          <w:szCs w:val="22"/>
          <w:lang w:val="en-US" w:eastAsia="en-GB"/>
        </w:rPr>
        <w:t>index were included in a series of analyses, variably as either covariates of interest or no interest (nuisance variables). This was required to identify each marker’s unique association with brain structure, having controlled for the variance it shares with the other markers and socio-demographic variables.</w:t>
      </w:r>
    </w:p>
    <w:p w:rsidR="005359D8" w:rsidRPr="00864865" w:rsidRDefault="005359D8" w:rsidP="0090269D">
      <w:pPr>
        <w:keepNext/>
        <w:keepLines/>
        <w:numPr>
          <w:ilvl w:val="2"/>
          <w:numId w:val="0"/>
        </w:numPr>
        <w:spacing w:before="120" w:after="200"/>
        <w:ind w:left="720" w:hanging="720"/>
        <w:outlineLvl w:val="2"/>
        <w:rPr>
          <w:rFonts w:ascii="Calibri" w:eastAsia="MS Gothic" w:hAnsi="Calibri" w:cs="Times New Roman"/>
          <w:b/>
          <w:bCs/>
          <w:color w:val="000000"/>
          <w:sz w:val="22"/>
          <w:szCs w:val="22"/>
          <w:lang w:val="en-US" w:eastAsia="en-GB"/>
        </w:rPr>
      </w:pPr>
      <w:r w:rsidRPr="00864865">
        <w:rPr>
          <w:rFonts w:ascii="Calibri" w:eastAsia="MS Gothic" w:hAnsi="Calibri" w:cs="Times New Roman"/>
          <w:b/>
          <w:bCs/>
          <w:color w:val="000000"/>
          <w:sz w:val="22"/>
          <w:szCs w:val="22"/>
          <w:lang w:val="en-US" w:eastAsia="en-GB"/>
        </w:rPr>
        <w:t>Socio-demographics</w:t>
      </w:r>
    </w:p>
    <w:p w:rsidR="005359D8" w:rsidRDefault="005359D8" w:rsidP="0090269D">
      <w:pPr>
        <w:spacing w:line="480" w:lineRule="auto"/>
        <w:rPr>
          <w:rFonts w:ascii="Calibri" w:eastAsia="MS Mincho" w:hAnsi="Calibri" w:cs="Times New Roman"/>
          <w:color w:val="000000"/>
          <w:sz w:val="22"/>
          <w:szCs w:val="22"/>
          <w:lang w:val="en-US" w:eastAsia="en-GB"/>
        </w:rPr>
      </w:pPr>
      <w:r w:rsidRPr="00864865">
        <w:rPr>
          <w:rFonts w:ascii="Calibri" w:eastAsia="MS Mincho" w:hAnsi="Calibri" w:cs="Times New Roman"/>
          <w:color w:val="000000"/>
          <w:sz w:val="22"/>
          <w:szCs w:val="22"/>
          <w:lang w:val="en-US" w:eastAsia="en-GB"/>
        </w:rPr>
        <w:t xml:space="preserve">Age at time of scan, sex, ethnicity, education and employment grade were used as nuisance variables. Ethnicity was defined as white and non-white. Education years were calculated as the difference between the age at which the participant commenced primary school and the age at which they first left full-time education. Socioeconomic status was classified according to occupation grade at </w:t>
      </w:r>
      <w:r>
        <w:rPr>
          <w:rFonts w:ascii="Calibri" w:eastAsia="MS Mincho" w:hAnsi="Calibri" w:cs="Times New Roman"/>
          <w:color w:val="000000"/>
          <w:sz w:val="22"/>
          <w:szCs w:val="22"/>
          <w:lang w:val="en-US" w:eastAsia="en-GB"/>
        </w:rPr>
        <w:t>P</w:t>
      </w:r>
      <w:r w:rsidRPr="00864865">
        <w:rPr>
          <w:rFonts w:ascii="Calibri" w:eastAsia="MS Mincho" w:hAnsi="Calibri" w:cs="Times New Roman"/>
          <w:color w:val="000000"/>
          <w:sz w:val="22"/>
          <w:szCs w:val="22"/>
          <w:lang w:val="en-US" w:eastAsia="en-GB"/>
        </w:rPr>
        <w:t>hase 1: senior managers and administrators (highest grade), professionals and executives (middle grade), and clerical and support staff (lowest grade).</w:t>
      </w:r>
    </w:p>
    <w:p w:rsidR="005359D8" w:rsidRDefault="005359D8" w:rsidP="0090269D">
      <w:pPr>
        <w:rPr>
          <w:lang w:val="en-US"/>
        </w:rPr>
      </w:pPr>
      <w:r>
        <w:rPr>
          <w:lang w:val="en-US"/>
        </w:rPr>
        <w:br w:type="page"/>
      </w:r>
    </w:p>
    <w:p w:rsidR="005359D8" w:rsidRDefault="005359D8">
      <w:pPr>
        <w:rPr>
          <w:lang w:val="en-US"/>
        </w:rPr>
      </w:pPr>
      <w:r>
        <w:rPr>
          <w:lang w:val="en-US"/>
        </w:rPr>
        <w:lastRenderedPageBreak/>
        <w:t>Supplementary Text S2. MRI acquisition and processing</w:t>
      </w:r>
    </w:p>
    <w:p w:rsidR="005359D8" w:rsidRDefault="005359D8">
      <w:pPr>
        <w:rPr>
          <w:lang w:val="en-US"/>
        </w:rPr>
      </w:pPr>
    </w:p>
    <w:p w:rsidR="005359D8" w:rsidRPr="001B744C" w:rsidRDefault="005359D8" w:rsidP="001B744C">
      <w:pPr>
        <w:keepNext/>
        <w:keepLines/>
        <w:numPr>
          <w:ilvl w:val="2"/>
          <w:numId w:val="0"/>
        </w:numPr>
        <w:spacing w:before="120" w:after="200"/>
        <w:ind w:left="720" w:hanging="720"/>
        <w:outlineLvl w:val="2"/>
        <w:rPr>
          <w:rFonts w:ascii="Calibri" w:eastAsia="MS Gothic" w:hAnsi="Calibri" w:cs="Times New Roman"/>
          <w:b/>
          <w:bCs/>
          <w:color w:val="000000"/>
          <w:sz w:val="22"/>
          <w:szCs w:val="22"/>
          <w:lang w:val="en-US" w:eastAsia="en-GB"/>
        </w:rPr>
      </w:pPr>
      <w:r>
        <w:rPr>
          <w:rFonts w:ascii="Calibri" w:eastAsia="MS Gothic" w:hAnsi="Calibri" w:cs="Times New Roman"/>
          <w:b/>
          <w:bCs/>
          <w:color w:val="000000"/>
          <w:sz w:val="22"/>
          <w:szCs w:val="22"/>
          <w:lang w:val="en-US" w:eastAsia="en-GB"/>
        </w:rPr>
        <w:t>Grey</w:t>
      </w:r>
      <w:r w:rsidRPr="001B744C">
        <w:rPr>
          <w:rFonts w:ascii="Calibri" w:eastAsia="MS Gothic" w:hAnsi="Calibri" w:cs="Times New Roman"/>
          <w:b/>
          <w:bCs/>
          <w:color w:val="000000"/>
          <w:sz w:val="22"/>
          <w:szCs w:val="22"/>
          <w:lang w:val="en-US" w:eastAsia="en-GB"/>
        </w:rPr>
        <w:t xml:space="preserve"> matter density</w:t>
      </w:r>
    </w:p>
    <w:p w:rsidR="005359D8" w:rsidRPr="001B744C" w:rsidRDefault="005359D8" w:rsidP="001B744C">
      <w:pPr>
        <w:spacing w:line="480" w:lineRule="auto"/>
        <w:rPr>
          <w:rFonts w:ascii="Calibri" w:eastAsia="MS Mincho" w:hAnsi="Calibri" w:cs="Times New Roman"/>
          <w:color w:val="000000"/>
          <w:sz w:val="22"/>
          <w:szCs w:val="22"/>
          <w:lang w:val="en-US" w:eastAsia="en-GB"/>
        </w:rPr>
      </w:pPr>
      <w:r w:rsidRPr="001B744C">
        <w:rPr>
          <w:rFonts w:ascii="Calibri" w:eastAsia="MS Mincho" w:hAnsi="Calibri" w:cs="Times New Roman"/>
          <w:color w:val="000000"/>
          <w:sz w:val="22"/>
          <w:szCs w:val="22"/>
          <w:lang w:val="en-US" w:eastAsia="en-GB"/>
        </w:rPr>
        <w:t xml:space="preserve">Voxelwise analysis of </w:t>
      </w:r>
      <w:r>
        <w:rPr>
          <w:rFonts w:ascii="Calibri" w:eastAsia="MS Mincho" w:hAnsi="Calibri" w:cs="Times New Roman"/>
          <w:color w:val="000000"/>
          <w:sz w:val="22"/>
          <w:szCs w:val="22"/>
          <w:lang w:val="en-US" w:eastAsia="en-GB"/>
        </w:rPr>
        <w:t>grey</w:t>
      </w:r>
      <w:r w:rsidRPr="001B744C">
        <w:rPr>
          <w:rFonts w:ascii="Calibri" w:eastAsia="MS Mincho" w:hAnsi="Calibri" w:cs="Times New Roman"/>
          <w:color w:val="000000"/>
          <w:sz w:val="22"/>
          <w:szCs w:val="22"/>
          <w:lang w:val="en-US" w:eastAsia="en-GB"/>
        </w:rPr>
        <w:t xml:space="preserve"> matter (</w:t>
      </w:r>
      <w:r>
        <w:rPr>
          <w:rFonts w:ascii="Calibri" w:eastAsia="MS Mincho" w:hAnsi="Calibri" w:cs="Times New Roman"/>
          <w:color w:val="000000"/>
          <w:sz w:val="22"/>
          <w:szCs w:val="22"/>
          <w:lang w:val="en-US" w:eastAsia="en-GB"/>
        </w:rPr>
        <w:t>GM) was performed using FSL-VBM</w:t>
      </w:r>
      <w:r w:rsidRPr="005F171C">
        <w:rPr>
          <w:rFonts w:ascii="Calibri" w:eastAsia="MS Mincho" w:hAnsi="Calibri" w:cs="Times New Roman"/>
          <w:noProof/>
          <w:color w:val="000000"/>
          <w:sz w:val="22"/>
          <w:szCs w:val="22"/>
          <w:vertAlign w:val="superscript"/>
          <w:lang w:val="en-US" w:eastAsia="en-GB"/>
        </w:rPr>
        <w:t>5</w:t>
      </w:r>
      <w:r>
        <w:rPr>
          <w:rFonts w:ascii="Calibri" w:eastAsia="MS Mincho" w:hAnsi="Calibri" w:cs="Times New Roman"/>
          <w:noProof/>
          <w:color w:val="000000"/>
          <w:sz w:val="22"/>
          <w:szCs w:val="22"/>
          <w:lang w:val="en-US" w:eastAsia="en-GB"/>
        </w:rPr>
        <w:t xml:space="preserve"> an optimised voxel-based morphometry (VBM) protocol in the FMRIB Software Library (FSL) version 5.0.</w:t>
      </w:r>
      <w:r w:rsidRPr="005F171C">
        <w:rPr>
          <w:rFonts w:ascii="Calibri" w:eastAsia="MS Mincho" w:hAnsi="Calibri" w:cs="Times New Roman"/>
          <w:noProof/>
          <w:color w:val="000000"/>
          <w:sz w:val="22"/>
          <w:szCs w:val="22"/>
          <w:vertAlign w:val="superscript"/>
          <w:lang w:val="en-US" w:eastAsia="en-GB"/>
        </w:rPr>
        <w:t>6</w:t>
      </w:r>
      <w:r w:rsidRPr="001B744C">
        <w:rPr>
          <w:rFonts w:ascii="Calibri" w:eastAsia="MS Mincho" w:hAnsi="Calibri" w:cs="Times New Roman"/>
          <w:color w:val="000000"/>
          <w:sz w:val="22"/>
          <w:szCs w:val="22"/>
          <w:lang w:val="en-US" w:eastAsia="en-GB"/>
        </w:rPr>
        <w:t xml:space="preserve"> Normalized bias-corrected brain extracted images were </w:t>
      </w:r>
      <w:r>
        <w:rPr>
          <w:rFonts w:ascii="Calibri" w:eastAsia="MS Mincho" w:hAnsi="Calibri" w:cs="Times New Roman"/>
          <w:color w:val="000000"/>
          <w:sz w:val="22"/>
          <w:szCs w:val="22"/>
          <w:lang w:val="en-US" w:eastAsia="en-GB"/>
        </w:rPr>
        <w:t xml:space="preserve">grey matter </w:t>
      </w:r>
      <w:r w:rsidRPr="001B744C">
        <w:rPr>
          <w:rFonts w:ascii="Calibri" w:eastAsia="MS Mincho" w:hAnsi="Calibri" w:cs="Times New Roman"/>
          <w:color w:val="000000"/>
          <w:sz w:val="22"/>
          <w:szCs w:val="22"/>
          <w:lang w:val="en-US" w:eastAsia="en-GB"/>
        </w:rPr>
        <w:t>segmented before being registered to the</w:t>
      </w:r>
      <w:r>
        <w:rPr>
          <w:rFonts w:ascii="Calibri" w:eastAsia="MS Mincho" w:hAnsi="Calibri" w:cs="Times New Roman"/>
          <w:color w:val="000000"/>
          <w:sz w:val="22"/>
          <w:szCs w:val="22"/>
          <w:lang w:val="en-US" w:eastAsia="en-GB"/>
        </w:rPr>
        <w:t xml:space="preserve"> Montreal Neurological Institute</w:t>
      </w:r>
      <w:r w:rsidRPr="001B744C">
        <w:rPr>
          <w:rFonts w:ascii="Calibri" w:eastAsia="MS Mincho" w:hAnsi="Calibri" w:cs="Times New Roman"/>
          <w:color w:val="000000"/>
          <w:sz w:val="22"/>
          <w:szCs w:val="22"/>
          <w:lang w:val="en-US" w:eastAsia="en-GB"/>
        </w:rPr>
        <w:t xml:space="preserve"> </w:t>
      </w:r>
      <w:r>
        <w:rPr>
          <w:rFonts w:ascii="Calibri" w:eastAsia="MS Mincho" w:hAnsi="Calibri" w:cs="Times New Roman"/>
          <w:color w:val="000000"/>
          <w:sz w:val="22"/>
          <w:szCs w:val="22"/>
          <w:lang w:val="en-US" w:eastAsia="en-GB"/>
        </w:rPr>
        <w:t>(</w:t>
      </w:r>
      <w:r w:rsidRPr="001B744C">
        <w:rPr>
          <w:rFonts w:ascii="Calibri" w:eastAsia="MS Mincho" w:hAnsi="Calibri" w:cs="Times New Roman"/>
          <w:color w:val="000000"/>
          <w:sz w:val="22"/>
          <w:szCs w:val="22"/>
          <w:lang w:val="en-US" w:eastAsia="en-GB"/>
        </w:rPr>
        <w:t>MNI</w:t>
      </w:r>
      <w:r>
        <w:rPr>
          <w:rFonts w:ascii="Calibri" w:eastAsia="MS Mincho" w:hAnsi="Calibri" w:cs="Times New Roman"/>
          <w:color w:val="000000"/>
          <w:sz w:val="22"/>
          <w:szCs w:val="22"/>
          <w:lang w:val="en-US" w:eastAsia="en-GB"/>
        </w:rPr>
        <w:t>)</w:t>
      </w:r>
      <w:r w:rsidRPr="001B744C">
        <w:rPr>
          <w:rFonts w:ascii="Calibri" w:eastAsia="MS Mincho" w:hAnsi="Calibri" w:cs="Times New Roman"/>
          <w:color w:val="000000"/>
          <w:sz w:val="22"/>
          <w:szCs w:val="22"/>
          <w:lang w:val="en-US" w:eastAsia="en-GB"/>
        </w:rPr>
        <w:t xml:space="preserve"> 152 standard space using FMRIB’s non-l</w:t>
      </w:r>
      <w:r>
        <w:rPr>
          <w:rFonts w:ascii="Calibri" w:eastAsia="MS Mincho" w:hAnsi="Calibri" w:cs="Times New Roman"/>
          <w:color w:val="000000"/>
          <w:sz w:val="22"/>
          <w:szCs w:val="22"/>
          <w:lang w:val="en-US" w:eastAsia="en-GB"/>
        </w:rPr>
        <w:t>inear registration tool (FNIRT</w:t>
      </w:r>
      <w:r w:rsidRPr="005F171C">
        <w:rPr>
          <w:rFonts w:ascii="Calibri" w:eastAsia="MS Mincho" w:hAnsi="Calibri" w:cs="Times New Roman"/>
          <w:noProof/>
          <w:color w:val="000000"/>
          <w:sz w:val="22"/>
          <w:szCs w:val="22"/>
          <w:vertAlign w:val="superscript"/>
          <w:lang w:val="en-US" w:eastAsia="en-GB"/>
        </w:rPr>
        <w:t>7</w:t>
      </w:r>
      <w:r w:rsidRPr="001B744C">
        <w:rPr>
          <w:rFonts w:ascii="Calibri" w:eastAsia="MS Mincho" w:hAnsi="Calibri" w:cs="Times New Roman"/>
          <w:color w:val="000000"/>
          <w:sz w:val="22"/>
          <w:szCs w:val="22"/>
          <w:lang w:val="en-US" w:eastAsia="en-GB"/>
        </w:rPr>
        <w:t xml:space="preserve">). The images were averaged and flipped along the x-axis to create a left-right symmetric, study-specific </w:t>
      </w:r>
      <w:r>
        <w:rPr>
          <w:rFonts w:ascii="Calibri" w:eastAsia="MS Mincho" w:hAnsi="Calibri" w:cs="Times New Roman"/>
          <w:color w:val="000000"/>
          <w:sz w:val="22"/>
          <w:szCs w:val="22"/>
          <w:lang w:val="en-US" w:eastAsia="en-GB"/>
        </w:rPr>
        <w:t>grey matter</w:t>
      </w:r>
      <w:r w:rsidRPr="001B744C">
        <w:rPr>
          <w:rFonts w:ascii="Calibri" w:eastAsia="MS Mincho" w:hAnsi="Calibri" w:cs="Times New Roman"/>
          <w:color w:val="000000"/>
          <w:sz w:val="22"/>
          <w:szCs w:val="22"/>
          <w:lang w:val="en-US" w:eastAsia="en-GB"/>
        </w:rPr>
        <w:t xml:space="preserve"> template. All native </w:t>
      </w:r>
      <w:r>
        <w:rPr>
          <w:rFonts w:ascii="Calibri" w:eastAsia="MS Mincho" w:hAnsi="Calibri" w:cs="Times New Roman"/>
          <w:color w:val="000000"/>
          <w:sz w:val="22"/>
          <w:szCs w:val="22"/>
          <w:lang w:val="en-US" w:eastAsia="en-GB"/>
        </w:rPr>
        <w:t>grey matter</w:t>
      </w:r>
      <w:r w:rsidRPr="001B744C" w:rsidDel="00D3620E">
        <w:rPr>
          <w:rFonts w:ascii="Calibri" w:eastAsia="MS Mincho" w:hAnsi="Calibri" w:cs="Times New Roman"/>
          <w:color w:val="000000"/>
          <w:sz w:val="22"/>
          <w:szCs w:val="22"/>
          <w:lang w:val="en-US" w:eastAsia="en-GB"/>
        </w:rPr>
        <w:t xml:space="preserve"> </w:t>
      </w:r>
      <w:r w:rsidRPr="001B744C">
        <w:rPr>
          <w:rFonts w:ascii="Calibri" w:eastAsia="MS Mincho" w:hAnsi="Calibri" w:cs="Times New Roman"/>
          <w:color w:val="000000"/>
          <w:sz w:val="22"/>
          <w:szCs w:val="22"/>
          <w:lang w:val="en-US" w:eastAsia="en-GB"/>
        </w:rPr>
        <w:t xml:space="preserve">images were non-linearly registered to this study-specific template and modulated to correct for local expansion (or contraction) due to the non-linear component of the spatial transformation. The modulated </w:t>
      </w:r>
      <w:r>
        <w:rPr>
          <w:rFonts w:ascii="Calibri" w:eastAsia="MS Mincho" w:hAnsi="Calibri" w:cs="Times New Roman"/>
          <w:color w:val="000000"/>
          <w:sz w:val="22"/>
          <w:szCs w:val="22"/>
          <w:lang w:val="en-US" w:eastAsia="en-GB"/>
        </w:rPr>
        <w:t>grey matter</w:t>
      </w:r>
      <w:r w:rsidRPr="001B744C" w:rsidDel="00D3620E">
        <w:rPr>
          <w:rFonts w:ascii="Calibri" w:eastAsia="MS Mincho" w:hAnsi="Calibri" w:cs="Times New Roman"/>
          <w:color w:val="000000"/>
          <w:sz w:val="22"/>
          <w:szCs w:val="22"/>
          <w:lang w:val="en-US" w:eastAsia="en-GB"/>
        </w:rPr>
        <w:t xml:space="preserve"> </w:t>
      </w:r>
      <w:r w:rsidRPr="001B744C">
        <w:rPr>
          <w:rFonts w:ascii="Calibri" w:eastAsia="MS Mincho" w:hAnsi="Calibri" w:cs="Times New Roman"/>
          <w:color w:val="000000"/>
          <w:sz w:val="22"/>
          <w:szCs w:val="22"/>
          <w:lang w:val="en-US" w:eastAsia="en-GB"/>
        </w:rPr>
        <w:t xml:space="preserve">images were then smoothed with an isotropic Gaussian kernel with a sigma of 3 mm. Finally, a study-specific </w:t>
      </w:r>
      <w:r>
        <w:rPr>
          <w:rFonts w:ascii="Calibri" w:eastAsia="MS Mincho" w:hAnsi="Calibri" w:cs="Times New Roman"/>
          <w:color w:val="000000"/>
          <w:sz w:val="22"/>
          <w:szCs w:val="22"/>
          <w:lang w:val="en-US" w:eastAsia="en-GB"/>
        </w:rPr>
        <w:t>grey matter</w:t>
      </w:r>
      <w:r w:rsidRPr="001B744C" w:rsidDel="00D3620E">
        <w:rPr>
          <w:rFonts w:ascii="Calibri" w:eastAsia="MS Mincho" w:hAnsi="Calibri" w:cs="Times New Roman"/>
          <w:color w:val="000000"/>
          <w:sz w:val="22"/>
          <w:szCs w:val="22"/>
          <w:lang w:val="en-US" w:eastAsia="en-GB"/>
        </w:rPr>
        <w:t xml:space="preserve"> </w:t>
      </w:r>
      <w:r w:rsidRPr="001B744C">
        <w:rPr>
          <w:rFonts w:ascii="Calibri" w:eastAsia="MS Mincho" w:hAnsi="Calibri" w:cs="Times New Roman"/>
          <w:color w:val="000000"/>
          <w:sz w:val="22"/>
          <w:szCs w:val="22"/>
          <w:lang w:val="en-US" w:eastAsia="en-GB"/>
        </w:rPr>
        <w:t>mask was used to enable accurate localization of results in an ag</w:t>
      </w:r>
      <w:r>
        <w:rPr>
          <w:rFonts w:ascii="Calibri" w:eastAsia="MS Mincho" w:hAnsi="Calibri" w:cs="Times New Roman"/>
          <w:color w:val="000000"/>
          <w:sz w:val="22"/>
          <w:szCs w:val="22"/>
          <w:lang w:val="en-US" w:eastAsia="en-GB"/>
        </w:rPr>
        <w:t>e</w:t>
      </w:r>
      <w:r w:rsidRPr="001B744C">
        <w:rPr>
          <w:rFonts w:ascii="Calibri" w:eastAsia="MS Mincho" w:hAnsi="Calibri" w:cs="Times New Roman"/>
          <w:color w:val="000000"/>
          <w:sz w:val="22"/>
          <w:szCs w:val="22"/>
          <w:lang w:val="en-US" w:eastAsia="en-GB"/>
        </w:rPr>
        <w:t>ing sample.</w:t>
      </w:r>
    </w:p>
    <w:p w:rsidR="005359D8" w:rsidRPr="001B744C" w:rsidRDefault="005359D8" w:rsidP="001B744C">
      <w:pPr>
        <w:keepNext/>
        <w:keepLines/>
        <w:numPr>
          <w:ilvl w:val="2"/>
          <w:numId w:val="0"/>
        </w:numPr>
        <w:spacing w:before="120" w:after="200"/>
        <w:ind w:left="720" w:hanging="720"/>
        <w:outlineLvl w:val="2"/>
        <w:rPr>
          <w:rFonts w:ascii="Calibri" w:eastAsia="MS Gothic" w:hAnsi="Calibri" w:cs="Times New Roman"/>
          <w:b/>
          <w:bCs/>
          <w:color w:val="000000"/>
          <w:sz w:val="22"/>
          <w:szCs w:val="22"/>
          <w:lang w:val="en-US" w:eastAsia="en-GB"/>
        </w:rPr>
      </w:pPr>
      <w:r w:rsidRPr="001B744C">
        <w:rPr>
          <w:rFonts w:ascii="Calibri" w:eastAsia="MS Gothic" w:hAnsi="Calibri" w:cs="Times New Roman"/>
          <w:b/>
          <w:bCs/>
          <w:color w:val="000000"/>
          <w:sz w:val="22"/>
          <w:szCs w:val="22"/>
          <w:lang w:val="en-US" w:eastAsia="en-GB"/>
        </w:rPr>
        <w:t>White matter microstructure</w:t>
      </w:r>
    </w:p>
    <w:p w:rsidR="005359D8" w:rsidRPr="001B744C" w:rsidRDefault="005359D8" w:rsidP="001B744C">
      <w:pPr>
        <w:spacing w:line="480" w:lineRule="auto"/>
        <w:rPr>
          <w:rFonts w:ascii="Calibri" w:eastAsia="MS Mincho" w:hAnsi="Calibri" w:cs="Times New Roman"/>
          <w:color w:val="000000"/>
          <w:sz w:val="22"/>
          <w:szCs w:val="22"/>
          <w:lang w:val="en-US" w:eastAsia="en-GB"/>
        </w:rPr>
      </w:pPr>
      <w:r w:rsidRPr="001B744C">
        <w:rPr>
          <w:rFonts w:ascii="Calibri" w:eastAsia="MS Mincho" w:hAnsi="Calibri" w:cs="Times New Roman"/>
          <w:color w:val="000000"/>
          <w:sz w:val="22"/>
          <w:szCs w:val="22"/>
          <w:lang w:val="en-US" w:eastAsia="en-GB"/>
        </w:rPr>
        <w:t>In diffusion tensor imaging (DTI) analysis, images were corrected for susceptibility-induced distortions using two b=0 scans (b-value 0 s/mm</w:t>
      </w:r>
      <w:r w:rsidRPr="001B744C">
        <w:rPr>
          <w:rFonts w:ascii="Calibri" w:eastAsia="MS Mincho" w:hAnsi="Calibri" w:cs="Times New Roman"/>
          <w:color w:val="000000"/>
          <w:sz w:val="22"/>
          <w:szCs w:val="22"/>
          <w:vertAlign w:val="superscript"/>
          <w:lang w:val="en-US" w:eastAsia="en-GB"/>
        </w:rPr>
        <w:t>2</w:t>
      </w:r>
      <w:r w:rsidRPr="001B744C">
        <w:rPr>
          <w:rFonts w:ascii="Calibri" w:eastAsia="MS Mincho" w:hAnsi="Calibri" w:cs="Times New Roman"/>
          <w:color w:val="000000"/>
          <w:sz w:val="22"/>
          <w:szCs w:val="22"/>
          <w:lang w:val="en-US" w:eastAsia="en-GB"/>
        </w:rPr>
        <w:t>), acquired with opposing phase-encoding dire</w:t>
      </w:r>
      <w:r>
        <w:rPr>
          <w:rFonts w:ascii="Calibri" w:eastAsia="MS Mincho" w:hAnsi="Calibri" w:cs="Times New Roman"/>
          <w:color w:val="000000"/>
          <w:sz w:val="22"/>
          <w:szCs w:val="22"/>
          <w:lang w:val="en-US" w:eastAsia="en-GB"/>
        </w:rPr>
        <w:t>ctions using the FSL topup tool.</w:t>
      </w:r>
      <w:r w:rsidRPr="005F171C">
        <w:rPr>
          <w:rFonts w:ascii="Calibri" w:eastAsia="MS Mincho" w:hAnsi="Calibri" w:cs="Times New Roman"/>
          <w:noProof/>
          <w:color w:val="000000"/>
          <w:sz w:val="22"/>
          <w:szCs w:val="22"/>
          <w:vertAlign w:val="superscript"/>
          <w:lang w:val="en-US" w:eastAsia="en-GB"/>
        </w:rPr>
        <w:t>8</w:t>
      </w:r>
      <w:r w:rsidRPr="001B744C">
        <w:rPr>
          <w:rFonts w:ascii="Calibri" w:eastAsia="MS Mincho" w:hAnsi="Calibri" w:cs="Times New Roman"/>
          <w:color w:val="000000"/>
          <w:sz w:val="22"/>
          <w:szCs w:val="22"/>
          <w:lang w:val="en-US" w:eastAsia="en-GB"/>
        </w:rPr>
        <w:t xml:space="preserve"> Eddy current-induced distortions and subject movement were co</w:t>
      </w:r>
      <w:r>
        <w:rPr>
          <w:rFonts w:ascii="Calibri" w:eastAsia="MS Mincho" w:hAnsi="Calibri" w:cs="Times New Roman"/>
          <w:color w:val="000000"/>
          <w:sz w:val="22"/>
          <w:szCs w:val="22"/>
          <w:lang w:val="en-US" w:eastAsia="en-GB"/>
        </w:rPr>
        <w:t>rrected using the FSL tool eddy.</w:t>
      </w:r>
      <w:r w:rsidRPr="005F171C">
        <w:rPr>
          <w:rFonts w:ascii="Calibri" w:eastAsia="MS Mincho" w:hAnsi="Calibri" w:cs="Times New Roman"/>
          <w:noProof/>
          <w:color w:val="000000"/>
          <w:sz w:val="22"/>
          <w:szCs w:val="22"/>
          <w:vertAlign w:val="superscript"/>
          <w:lang w:val="en-US" w:eastAsia="en-GB"/>
        </w:rPr>
        <w:t>9</w:t>
      </w:r>
      <w:r w:rsidRPr="001B744C">
        <w:rPr>
          <w:rFonts w:ascii="Calibri" w:eastAsia="MS Mincho" w:hAnsi="Calibri" w:cs="Times New Roman"/>
          <w:color w:val="000000"/>
          <w:sz w:val="22"/>
          <w:szCs w:val="22"/>
          <w:lang w:val="en-US" w:eastAsia="en-GB"/>
        </w:rPr>
        <w:t xml:space="preserve"> This employs a second order polynomial model and transforms each scan towards the Gaussian process predicted scan. It also identifies outlier slices (dropout) caused by mov</w:t>
      </w:r>
      <w:r>
        <w:rPr>
          <w:rFonts w:ascii="Calibri" w:eastAsia="MS Mincho" w:hAnsi="Calibri" w:cs="Times New Roman"/>
          <w:color w:val="000000"/>
          <w:sz w:val="22"/>
          <w:szCs w:val="22"/>
          <w:lang w:val="en-US" w:eastAsia="en-GB"/>
        </w:rPr>
        <w:t>ement during diffusion encoding.</w:t>
      </w:r>
      <w:r w:rsidRPr="005F171C">
        <w:rPr>
          <w:rFonts w:ascii="Calibri" w:eastAsia="MS Mincho" w:hAnsi="Calibri" w:cs="Times New Roman"/>
          <w:noProof/>
          <w:color w:val="000000"/>
          <w:sz w:val="22"/>
          <w:szCs w:val="22"/>
          <w:vertAlign w:val="superscript"/>
          <w:lang w:val="en-US" w:eastAsia="en-GB"/>
        </w:rPr>
        <w:t>10</w:t>
      </w:r>
      <w:r w:rsidRPr="001B744C">
        <w:rPr>
          <w:rFonts w:ascii="Calibri" w:eastAsia="MS Mincho" w:hAnsi="Calibri" w:cs="Times New Roman"/>
          <w:color w:val="000000"/>
          <w:sz w:val="22"/>
          <w:szCs w:val="22"/>
          <w:lang w:val="en-US" w:eastAsia="en-GB"/>
        </w:rPr>
        <w:t xml:space="preserve"> Slices were classified as outliers and replaced if the signal was found to be more than 3 SD from the Gaussian Process predicted slice. The volume was removed if over 10 slices were identified as outliers within a volume. The scan was excluded from analysis if more than five volumes were removed. </w:t>
      </w:r>
    </w:p>
    <w:p w:rsidR="005359D8" w:rsidRDefault="005359D8" w:rsidP="001B744C">
      <w:pPr>
        <w:spacing w:line="480" w:lineRule="auto"/>
        <w:rPr>
          <w:rFonts w:ascii="Calibri" w:eastAsia="MS Mincho" w:hAnsi="Calibri" w:cs="Times New Roman"/>
          <w:color w:val="000000"/>
          <w:sz w:val="22"/>
          <w:szCs w:val="22"/>
          <w:lang w:val="en-US" w:eastAsia="en-GB"/>
        </w:rPr>
      </w:pPr>
      <w:r w:rsidRPr="001B744C">
        <w:rPr>
          <w:rFonts w:ascii="Calibri" w:eastAsia="MS Mincho" w:hAnsi="Calibri" w:cs="Times New Roman"/>
          <w:color w:val="000000"/>
          <w:sz w:val="22"/>
          <w:szCs w:val="22"/>
          <w:lang w:val="en-US" w:eastAsia="en-GB"/>
        </w:rPr>
        <w:t xml:space="preserve">Voxelwise statistical analysis of fractional anisotropy (FA) and mean diffusivity (MD) was carried out using </w:t>
      </w:r>
      <w:r>
        <w:rPr>
          <w:rFonts w:ascii="Calibri" w:eastAsia="MS Mincho" w:hAnsi="Calibri" w:cs="Times New Roman"/>
          <w:color w:val="000000"/>
          <w:sz w:val="22"/>
          <w:szCs w:val="22"/>
          <w:lang w:val="en-US" w:eastAsia="en-GB"/>
        </w:rPr>
        <w:t>t</w:t>
      </w:r>
      <w:r w:rsidRPr="001B744C">
        <w:rPr>
          <w:rFonts w:ascii="Calibri" w:eastAsia="MS Mincho" w:hAnsi="Calibri" w:cs="Times New Roman"/>
          <w:color w:val="000000"/>
          <w:sz w:val="22"/>
          <w:szCs w:val="22"/>
          <w:lang w:val="en-US" w:eastAsia="en-GB"/>
        </w:rPr>
        <w:t>ract-</w:t>
      </w:r>
      <w:r>
        <w:rPr>
          <w:rFonts w:ascii="Calibri" w:eastAsia="MS Mincho" w:hAnsi="Calibri" w:cs="Times New Roman"/>
          <w:color w:val="000000"/>
          <w:sz w:val="22"/>
          <w:szCs w:val="22"/>
          <w:lang w:val="en-US" w:eastAsia="en-GB"/>
        </w:rPr>
        <w:t>b</w:t>
      </w:r>
      <w:r w:rsidRPr="001B744C">
        <w:rPr>
          <w:rFonts w:ascii="Calibri" w:eastAsia="MS Mincho" w:hAnsi="Calibri" w:cs="Times New Roman"/>
          <w:color w:val="000000"/>
          <w:sz w:val="22"/>
          <w:szCs w:val="22"/>
          <w:lang w:val="en-US" w:eastAsia="en-GB"/>
        </w:rPr>
        <w:t>a</w:t>
      </w:r>
      <w:r>
        <w:rPr>
          <w:rFonts w:ascii="Calibri" w:eastAsia="MS Mincho" w:hAnsi="Calibri" w:cs="Times New Roman"/>
          <w:color w:val="000000"/>
          <w:sz w:val="22"/>
          <w:szCs w:val="22"/>
          <w:lang w:val="en-US" w:eastAsia="en-GB"/>
        </w:rPr>
        <w:t>sed spatial statistics ((TBSS)</w:t>
      </w:r>
      <w:r w:rsidRPr="005F171C">
        <w:rPr>
          <w:rFonts w:ascii="Calibri" w:eastAsia="MS Mincho" w:hAnsi="Calibri" w:cs="Times New Roman"/>
          <w:noProof/>
          <w:color w:val="000000"/>
          <w:sz w:val="22"/>
          <w:szCs w:val="22"/>
          <w:vertAlign w:val="superscript"/>
          <w:lang w:val="en-US" w:eastAsia="en-GB"/>
        </w:rPr>
        <w:t>11</w:t>
      </w:r>
      <w:r w:rsidRPr="001B744C">
        <w:rPr>
          <w:rFonts w:ascii="Calibri" w:eastAsia="MS Mincho" w:hAnsi="Calibri" w:cs="Times New Roman"/>
          <w:noProof/>
          <w:color w:val="000000"/>
          <w:sz w:val="22"/>
          <w:szCs w:val="22"/>
          <w:lang w:val="en-US" w:eastAsia="en-GB"/>
        </w:rPr>
        <w:t>)</w:t>
      </w:r>
      <w:r w:rsidRPr="001B744C">
        <w:rPr>
          <w:rFonts w:ascii="Calibri" w:eastAsia="MS Mincho" w:hAnsi="Calibri" w:cs="Times New Roman"/>
          <w:color w:val="000000"/>
          <w:sz w:val="22"/>
          <w:szCs w:val="22"/>
          <w:lang w:val="en-US" w:eastAsia="en-GB"/>
        </w:rPr>
        <w:t>. A tensor model was fitted to the raw diffusion data using DTIFit part of FMRIB’s Diffusion Toolbox (</w:t>
      </w:r>
      <w:hyperlink r:id="rId4" w:history="1">
        <w:r w:rsidRPr="001B744C">
          <w:rPr>
            <w:rFonts w:ascii="Calibri" w:eastAsia="MS Mincho" w:hAnsi="Calibri" w:cs="Times New Roman"/>
            <w:color w:val="000000"/>
            <w:sz w:val="22"/>
            <w:szCs w:val="22"/>
            <w:u w:val="single"/>
            <w:lang w:val="en-US" w:eastAsia="en-GB"/>
          </w:rPr>
          <w:t>http://fsl.fmrib.oc.ac.uk/fsl/fdt</w:t>
        </w:r>
      </w:hyperlink>
      <w:r w:rsidRPr="001B744C">
        <w:rPr>
          <w:rFonts w:ascii="Calibri" w:eastAsia="MS Mincho" w:hAnsi="Calibri" w:cs="Times New Roman"/>
          <w:color w:val="000000"/>
          <w:sz w:val="22"/>
          <w:szCs w:val="22"/>
          <w:lang w:val="en-US" w:eastAsia="en-GB"/>
        </w:rPr>
        <w:t>) to create FA maps. This fits a diffusion tensor model to the raw diffusion data an</w:t>
      </w:r>
      <w:r>
        <w:rPr>
          <w:rFonts w:ascii="Calibri" w:eastAsia="MS Mincho" w:hAnsi="Calibri" w:cs="Times New Roman"/>
          <w:color w:val="000000"/>
          <w:sz w:val="22"/>
          <w:szCs w:val="22"/>
          <w:lang w:val="en-US" w:eastAsia="en-GB"/>
        </w:rPr>
        <w:t>d then brain-extracts using BET.</w:t>
      </w:r>
      <w:r w:rsidRPr="005F171C">
        <w:rPr>
          <w:rFonts w:ascii="Calibri" w:eastAsia="MS Mincho" w:hAnsi="Calibri" w:cs="Times New Roman"/>
          <w:noProof/>
          <w:color w:val="000000"/>
          <w:sz w:val="22"/>
          <w:szCs w:val="22"/>
          <w:vertAlign w:val="superscript"/>
          <w:lang w:val="en-US" w:eastAsia="en-GB"/>
        </w:rPr>
        <w:t>12</w:t>
      </w:r>
      <w:r w:rsidRPr="001B744C">
        <w:rPr>
          <w:rFonts w:ascii="Calibri" w:eastAsia="MS Mincho" w:hAnsi="Calibri" w:cs="Times New Roman"/>
          <w:color w:val="000000"/>
          <w:sz w:val="22"/>
          <w:szCs w:val="22"/>
          <w:lang w:val="en-US" w:eastAsia="en-GB"/>
        </w:rPr>
        <w:t xml:space="preserve"> All </w:t>
      </w:r>
      <w:r w:rsidRPr="001B744C">
        <w:rPr>
          <w:rFonts w:ascii="Calibri" w:eastAsia="MS Mincho" w:hAnsi="Calibri" w:cs="Times New Roman"/>
          <w:color w:val="000000"/>
          <w:sz w:val="22"/>
          <w:szCs w:val="22"/>
          <w:lang w:val="en-US" w:eastAsia="en-GB"/>
        </w:rPr>
        <w:lastRenderedPageBreak/>
        <w:t xml:space="preserve">subjects' FA data were then aligned </w:t>
      </w:r>
      <w:r>
        <w:rPr>
          <w:rFonts w:ascii="Calibri" w:eastAsia="MS Mincho" w:hAnsi="Calibri" w:cs="Times New Roman"/>
          <w:color w:val="000000"/>
          <w:sz w:val="22"/>
          <w:szCs w:val="22"/>
          <w:lang w:val="en-US" w:eastAsia="en-GB"/>
        </w:rPr>
        <w:t>into a common space using FNIRT,</w:t>
      </w:r>
      <w:r w:rsidRPr="005F171C">
        <w:rPr>
          <w:rFonts w:ascii="Calibri" w:eastAsia="MS Mincho" w:hAnsi="Calibri" w:cs="Times New Roman"/>
          <w:noProof/>
          <w:color w:val="000000"/>
          <w:sz w:val="22"/>
          <w:szCs w:val="22"/>
          <w:vertAlign w:val="superscript"/>
          <w:lang w:val="en-US" w:eastAsia="en-GB"/>
        </w:rPr>
        <w:t>7</w:t>
      </w:r>
      <w:r w:rsidRPr="001B744C">
        <w:rPr>
          <w:rFonts w:ascii="Calibri" w:eastAsia="MS Mincho" w:hAnsi="Calibri" w:cs="Times New Roman"/>
          <w:color w:val="000000"/>
          <w:sz w:val="22"/>
          <w:szCs w:val="22"/>
          <w:lang w:val="en-US" w:eastAsia="en-GB"/>
        </w:rPr>
        <w:t xml:space="preserve"> which uses a b-spline representation</w:t>
      </w:r>
      <w:r>
        <w:rPr>
          <w:rFonts w:ascii="Calibri" w:eastAsia="MS Mincho" w:hAnsi="Calibri" w:cs="Times New Roman"/>
          <w:color w:val="000000"/>
          <w:sz w:val="22"/>
          <w:szCs w:val="22"/>
          <w:lang w:val="en-US" w:eastAsia="en-GB"/>
        </w:rPr>
        <w:t xml:space="preserve"> of the registration warp field.</w:t>
      </w:r>
      <w:r w:rsidRPr="005F171C">
        <w:rPr>
          <w:rFonts w:ascii="Calibri" w:eastAsia="MS Mincho" w:hAnsi="Calibri" w:cs="Times New Roman"/>
          <w:noProof/>
          <w:color w:val="000000"/>
          <w:sz w:val="22"/>
          <w:szCs w:val="22"/>
          <w:vertAlign w:val="superscript"/>
          <w:lang w:val="en-US" w:eastAsia="en-GB"/>
        </w:rPr>
        <w:t>13</w:t>
      </w:r>
      <w:r w:rsidRPr="001B744C">
        <w:rPr>
          <w:rFonts w:ascii="Calibri" w:eastAsia="MS Mincho" w:hAnsi="Calibri" w:cs="Times New Roman"/>
          <w:color w:val="000000"/>
          <w:sz w:val="22"/>
          <w:szCs w:val="22"/>
          <w:lang w:val="en-US" w:eastAsia="en-GB"/>
        </w:rPr>
        <w:t xml:space="preserve"> Next, the mean FA image was created and thinned to create a mean FA skeleton, which represents the centers of all tracts common to the group. Each subject's aligned FA data were then projected onto this skeleton and the resulting data fed into voxelwise cross-subject statistics. This method was repeated for MD. </w:t>
      </w:r>
    </w:p>
    <w:p w:rsidR="005359D8" w:rsidRDefault="005359D8" w:rsidP="001B744C">
      <w:pPr>
        <w:spacing w:line="480" w:lineRule="auto"/>
        <w:rPr>
          <w:rFonts w:ascii="Calibri" w:eastAsia="MS Mincho" w:hAnsi="Calibri" w:cs="Times New Roman"/>
          <w:color w:val="000000"/>
          <w:sz w:val="22"/>
          <w:szCs w:val="22"/>
          <w:lang w:val="en-US" w:eastAsia="en-GB"/>
        </w:rPr>
      </w:pPr>
    </w:p>
    <w:p w:rsidR="005359D8" w:rsidRDefault="005359D8" w:rsidP="00840C55">
      <w:pPr>
        <w:rPr>
          <w:lang w:val="en-US"/>
        </w:rPr>
      </w:pPr>
      <w:r>
        <w:rPr>
          <w:lang w:val="en-US"/>
        </w:rPr>
        <w:t>Supplementary Text S3. Statistical analysis</w:t>
      </w:r>
    </w:p>
    <w:p w:rsidR="005359D8" w:rsidRPr="00FC0A65" w:rsidRDefault="005359D8" w:rsidP="00840C55">
      <w:pPr>
        <w:rPr>
          <w:lang w:val="en-US"/>
        </w:rPr>
      </w:pPr>
    </w:p>
    <w:p w:rsidR="005359D8" w:rsidRDefault="005359D8" w:rsidP="007610A7">
      <w:pPr>
        <w:spacing w:after="160" w:line="259" w:lineRule="auto"/>
        <w:rPr>
          <w:lang w:val="en-US"/>
        </w:rPr>
      </w:pPr>
      <w:r w:rsidRPr="00FC0A65">
        <w:rPr>
          <w:rFonts w:ascii="Calibri" w:eastAsia="Times New Roman" w:hAnsi="Calibri"/>
          <w:sz w:val="22"/>
          <w:szCs w:val="22"/>
        </w:rPr>
        <w:t>(Abbreviations used: FSRS: Framingham stroke risk score; MetS: metabolic syndrome; AL index: allostatic load index; GM: grey matter; DTI: diffusion tensor imaging)</w:t>
      </w:r>
    </w:p>
    <w:p w:rsidR="005359D8" w:rsidRPr="00840C55" w:rsidRDefault="005359D8" w:rsidP="00840C55">
      <w:pPr>
        <w:rPr>
          <w:lang w:val="en-US"/>
        </w:rPr>
      </w:pPr>
    </w:p>
    <w:p w:rsidR="005359D8" w:rsidRDefault="005359D8" w:rsidP="001B744C">
      <w:pPr>
        <w:spacing w:line="480" w:lineRule="auto"/>
        <w:rPr>
          <w:sz w:val="22"/>
          <w:szCs w:val="22"/>
          <w:lang w:val="en-US"/>
        </w:rPr>
      </w:pPr>
      <w:r w:rsidRPr="00EF2055">
        <w:rPr>
          <w:sz w:val="22"/>
          <w:szCs w:val="22"/>
          <w:lang w:val="en-US"/>
        </w:rPr>
        <w:t>Three types of imaging-based statistical tests were r</w:t>
      </w:r>
      <w:r>
        <w:rPr>
          <w:sz w:val="22"/>
          <w:szCs w:val="22"/>
          <w:lang w:val="en-US"/>
        </w:rPr>
        <w:t>u</w:t>
      </w:r>
      <w:r w:rsidRPr="00EF2055">
        <w:rPr>
          <w:sz w:val="22"/>
          <w:szCs w:val="22"/>
          <w:lang w:val="en-US"/>
        </w:rPr>
        <w:t>n</w:t>
      </w:r>
      <w:r>
        <w:rPr>
          <w:sz w:val="22"/>
          <w:szCs w:val="22"/>
          <w:lang w:val="en-US"/>
        </w:rPr>
        <w:t>.</w:t>
      </w:r>
      <w:r w:rsidRPr="00EF2055">
        <w:rPr>
          <w:sz w:val="22"/>
          <w:szCs w:val="22"/>
          <w:lang w:val="en-US"/>
        </w:rPr>
        <w:t xml:space="preserve"> (1) simple linear t-tests of each marker in isolation, controlling for socio-demographics as nuisance variables</w:t>
      </w:r>
      <w:r>
        <w:rPr>
          <w:sz w:val="22"/>
          <w:szCs w:val="22"/>
          <w:lang w:val="en-US"/>
        </w:rPr>
        <w:t>:</w:t>
      </w:r>
    </w:p>
    <w:p w:rsidR="005359D8" w:rsidRPr="00EB17F6" w:rsidRDefault="005359D8" w:rsidP="006C27A9">
      <w:pPr>
        <w:spacing w:after="120"/>
        <w:rPr>
          <w:color w:val="000000" w:themeColor="text1"/>
          <w:sz w:val="22"/>
          <w:szCs w:val="22"/>
        </w:rPr>
      </w:pPr>
      <w:r w:rsidRPr="00EB17F6">
        <w:rPr>
          <w:color w:val="000000" w:themeColor="text1"/>
          <w:sz w:val="22"/>
          <w:szCs w:val="22"/>
        </w:rPr>
        <w:t>Y = β</w:t>
      </w:r>
      <w:r w:rsidRPr="00EB17F6">
        <w:rPr>
          <w:color w:val="000000" w:themeColor="text1"/>
          <w:sz w:val="22"/>
          <w:szCs w:val="22"/>
          <w:vertAlign w:val="subscript"/>
        </w:rPr>
        <w:t xml:space="preserve">1 </w:t>
      </w:r>
      <w:r w:rsidRPr="00EB17F6">
        <w:rPr>
          <w:color w:val="000000" w:themeColor="text1"/>
          <w:sz w:val="22"/>
          <w:szCs w:val="22"/>
        </w:rPr>
        <w:t>FSRS + β</w:t>
      </w:r>
      <w:r w:rsidRPr="00EB17F6">
        <w:rPr>
          <w:color w:val="000000" w:themeColor="text1"/>
          <w:sz w:val="22"/>
          <w:szCs w:val="22"/>
          <w:vertAlign w:val="subscript"/>
        </w:rPr>
        <w:t>2</w:t>
      </w:r>
      <w:r w:rsidRPr="00EB17F6">
        <w:rPr>
          <w:color w:val="000000" w:themeColor="text1"/>
          <w:sz w:val="22"/>
          <w:szCs w:val="22"/>
        </w:rPr>
        <w:t xml:space="preserve"> age + β</w:t>
      </w:r>
      <w:r w:rsidRPr="00EB17F6">
        <w:rPr>
          <w:color w:val="000000" w:themeColor="text1"/>
          <w:sz w:val="22"/>
          <w:szCs w:val="22"/>
          <w:vertAlign w:val="subscript"/>
        </w:rPr>
        <w:t>3</w:t>
      </w:r>
      <w:r w:rsidRPr="00EB17F6">
        <w:rPr>
          <w:color w:val="000000" w:themeColor="text1"/>
          <w:sz w:val="22"/>
          <w:szCs w:val="22"/>
        </w:rPr>
        <w:t xml:space="preserve"> sex + β</w:t>
      </w:r>
      <w:r w:rsidRPr="00EB17F6">
        <w:rPr>
          <w:color w:val="000000" w:themeColor="text1"/>
          <w:sz w:val="22"/>
          <w:szCs w:val="22"/>
          <w:vertAlign w:val="subscript"/>
        </w:rPr>
        <w:t xml:space="preserve">4 </w:t>
      </w:r>
      <w:r w:rsidRPr="00EB17F6">
        <w:rPr>
          <w:color w:val="000000" w:themeColor="text1"/>
          <w:sz w:val="22"/>
          <w:szCs w:val="22"/>
        </w:rPr>
        <w:t>ethnicity + β</w:t>
      </w:r>
      <w:r w:rsidRPr="00EB17F6">
        <w:rPr>
          <w:color w:val="000000" w:themeColor="text1"/>
          <w:sz w:val="22"/>
          <w:szCs w:val="22"/>
          <w:vertAlign w:val="subscript"/>
        </w:rPr>
        <w:t xml:space="preserve">5 </w:t>
      </w:r>
      <w:r w:rsidRPr="00EB17F6">
        <w:rPr>
          <w:color w:val="000000" w:themeColor="text1"/>
          <w:sz w:val="22"/>
          <w:szCs w:val="22"/>
        </w:rPr>
        <w:t>education + β</w:t>
      </w:r>
      <w:r w:rsidRPr="00EB17F6">
        <w:rPr>
          <w:color w:val="000000" w:themeColor="text1"/>
          <w:sz w:val="22"/>
          <w:szCs w:val="22"/>
          <w:vertAlign w:val="subscript"/>
        </w:rPr>
        <w:t xml:space="preserve">6 </w:t>
      </w:r>
      <w:r w:rsidRPr="00EB17F6">
        <w:rPr>
          <w:color w:val="000000" w:themeColor="text1"/>
          <w:sz w:val="22"/>
          <w:szCs w:val="22"/>
        </w:rPr>
        <w:t>employment + ε</w:t>
      </w:r>
    </w:p>
    <w:p w:rsidR="005359D8" w:rsidRPr="00EB17F6" w:rsidRDefault="005359D8" w:rsidP="006C27A9">
      <w:pPr>
        <w:rPr>
          <w:color w:val="000000" w:themeColor="text1"/>
          <w:sz w:val="22"/>
          <w:szCs w:val="22"/>
        </w:rPr>
      </w:pPr>
      <w:r w:rsidRPr="00EB17F6">
        <w:rPr>
          <w:color w:val="000000" w:themeColor="text1"/>
          <w:sz w:val="22"/>
          <w:szCs w:val="22"/>
        </w:rPr>
        <w:t>1, 0, 0, 0, 0, 0</w:t>
      </w:r>
    </w:p>
    <w:p w:rsidR="005359D8" w:rsidRPr="00EB17F6" w:rsidRDefault="005359D8" w:rsidP="006C27A9">
      <w:pPr>
        <w:spacing w:after="240"/>
        <w:rPr>
          <w:color w:val="000000" w:themeColor="text1"/>
          <w:sz w:val="22"/>
          <w:szCs w:val="22"/>
        </w:rPr>
      </w:pPr>
      <w:r w:rsidRPr="00EB17F6">
        <w:rPr>
          <w:color w:val="000000" w:themeColor="text1"/>
          <w:sz w:val="22"/>
          <w:szCs w:val="22"/>
        </w:rPr>
        <w:t>-1, 0, 0, 0, 0, 0</w:t>
      </w:r>
    </w:p>
    <w:p w:rsidR="005359D8" w:rsidRPr="00EB17F6" w:rsidRDefault="005359D8" w:rsidP="006C27A9">
      <w:pPr>
        <w:spacing w:after="120"/>
        <w:rPr>
          <w:color w:val="000000" w:themeColor="text1"/>
          <w:sz w:val="22"/>
          <w:szCs w:val="22"/>
        </w:rPr>
      </w:pPr>
      <w:r w:rsidRPr="00EB17F6">
        <w:rPr>
          <w:color w:val="000000" w:themeColor="text1"/>
          <w:sz w:val="22"/>
          <w:szCs w:val="22"/>
        </w:rPr>
        <w:t>Y = β</w:t>
      </w:r>
      <w:r w:rsidRPr="00EB17F6">
        <w:rPr>
          <w:color w:val="000000" w:themeColor="text1"/>
          <w:sz w:val="22"/>
          <w:szCs w:val="22"/>
          <w:vertAlign w:val="subscript"/>
        </w:rPr>
        <w:t>1</w:t>
      </w:r>
      <w:r w:rsidRPr="00EB17F6">
        <w:rPr>
          <w:color w:val="000000" w:themeColor="text1"/>
          <w:sz w:val="22"/>
          <w:szCs w:val="22"/>
        </w:rPr>
        <w:t xml:space="preserve"> MetS + β</w:t>
      </w:r>
      <w:r w:rsidRPr="00EB17F6">
        <w:rPr>
          <w:color w:val="000000" w:themeColor="text1"/>
          <w:sz w:val="22"/>
          <w:szCs w:val="22"/>
          <w:vertAlign w:val="subscript"/>
        </w:rPr>
        <w:t>2</w:t>
      </w:r>
      <w:r w:rsidRPr="00EB17F6">
        <w:rPr>
          <w:color w:val="000000" w:themeColor="text1"/>
          <w:sz w:val="22"/>
          <w:szCs w:val="22"/>
        </w:rPr>
        <w:t xml:space="preserve"> age + β</w:t>
      </w:r>
      <w:r w:rsidRPr="00EB17F6">
        <w:rPr>
          <w:color w:val="000000" w:themeColor="text1"/>
          <w:sz w:val="22"/>
          <w:szCs w:val="22"/>
          <w:vertAlign w:val="subscript"/>
        </w:rPr>
        <w:t>3</w:t>
      </w:r>
      <w:r w:rsidRPr="00EB17F6">
        <w:rPr>
          <w:color w:val="000000" w:themeColor="text1"/>
          <w:sz w:val="22"/>
          <w:szCs w:val="22"/>
        </w:rPr>
        <w:t xml:space="preserve"> sex + β</w:t>
      </w:r>
      <w:r w:rsidRPr="00EB17F6">
        <w:rPr>
          <w:color w:val="000000" w:themeColor="text1"/>
          <w:sz w:val="22"/>
          <w:szCs w:val="22"/>
          <w:vertAlign w:val="subscript"/>
        </w:rPr>
        <w:t xml:space="preserve">4 </w:t>
      </w:r>
      <w:r w:rsidRPr="00EB17F6">
        <w:rPr>
          <w:color w:val="000000" w:themeColor="text1"/>
          <w:sz w:val="22"/>
          <w:szCs w:val="22"/>
        </w:rPr>
        <w:t>ethnicity + β</w:t>
      </w:r>
      <w:r w:rsidRPr="00EB17F6">
        <w:rPr>
          <w:color w:val="000000" w:themeColor="text1"/>
          <w:sz w:val="22"/>
          <w:szCs w:val="22"/>
          <w:vertAlign w:val="subscript"/>
        </w:rPr>
        <w:t xml:space="preserve">5 </w:t>
      </w:r>
      <w:r w:rsidRPr="00EB17F6">
        <w:rPr>
          <w:color w:val="000000" w:themeColor="text1"/>
          <w:sz w:val="22"/>
          <w:szCs w:val="22"/>
        </w:rPr>
        <w:t>education + β</w:t>
      </w:r>
      <w:r w:rsidRPr="00EB17F6">
        <w:rPr>
          <w:color w:val="000000" w:themeColor="text1"/>
          <w:sz w:val="22"/>
          <w:szCs w:val="22"/>
          <w:vertAlign w:val="subscript"/>
        </w:rPr>
        <w:t xml:space="preserve">6 </w:t>
      </w:r>
      <w:r w:rsidRPr="00EB17F6">
        <w:rPr>
          <w:color w:val="000000" w:themeColor="text1"/>
          <w:sz w:val="22"/>
          <w:szCs w:val="22"/>
        </w:rPr>
        <w:t>employment + ε</w:t>
      </w:r>
    </w:p>
    <w:p w:rsidR="005359D8" w:rsidRPr="00EB17F6" w:rsidRDefault="005359D8" w:rsidP="006C27A9">
      <w:pPr>
        <w:rPr>
          <w:color w:val="000000" w:themeColor="text1"/>
          <w:sz w:val="22"/>
          <w:szCs w:val="22"/>
        </w:rPr>
      </w:pPr>
      <w:r w:rsidRPr="00EB17F6">
        <w:rPr>
          <w:color w:val="000000" w:themeColor="text1"/>
          <w:sz w:val="22"/>
          <w:szCs w:val="22"/>
        </w:rPr>
        <w:t>1, 0, 0, 0, 0, 0</w:t>
      </w:r>
    </w:p>
    <w:p w:rsidR="005359D8" w:rsidRPr="00EB17F6" w:rsidRDefault="005359D8" w:rsidP="006C27A9">
      <w:pPr>
        <w:spacing w:after="240"/>
        <w:rPr>
          <w:color w:val="000000" w:themeColor="text1"/>
          <w:sz w:val="22"/>
          <w:szCs w:val="22"/>
        </w:rPr>
      </w:pPr>
      <w:r w:rsidRPr="00EB17F6">
        <w:rPr>
          <w:color w:val="000000" w:themeColor="text1"/>
          <w:sz w:val="22"/>
          <w:szCs w:val="22"/>
        </w:rPr>
        <w:t>-1, 0, 0, 0, 0, 0</w:t>
      </w:r>
    </w:p>
    <w:p w:rsidR="005359D8" w:rsidRPr="00EB17F6" w:rsidRDefault="005359D8" w:rsidP="006C27A9">
      <w:pPr>
        <w:spacing w:after="120"/>
        <w:rPr>
          <w:color w:val="000000" w:themeColor="text1"/>
          <w:sz w:val="22"/>
          <w:szCs w:val="22"/>
        </w:rPr>
      </w:pPr>
      <w:r w:rsidRPr="00EB17F6">
        <w:rPr>
          <w:color w:val="000000" w:themeColor="text1"/>
          <w:sz w:val="22"/>
          <w:szCs w:val="22"/>
        </w:rPr>
        <w:t>Y = β</w:t>
      </w:r>
      <w:r w:rsidRPr="00EB17F6">
        <w:rPr>
          <w:color w:val="000000" w:themeColor="text1"/>
          <w:sz w:val="22"/>
          <w:szCs w:val="22"/>
          <w:vertAlign w:val="subscript"/>
        </w:rPr>
        <w:t>1</w:t>
      </w:r>
      <w:r w:rsidRPr="00EB17F6">
        <w:rPr>
          <w:color w:val="000000" w:themeColor="text1"/>
          <w:sz w:val="22"/>
          <w:szCs w:val="22"/>
        </w:rPr>
        <w:t xml:space="preserve"> AL + β</w:t>
      </w:r>
      <w:r w:rsidRPr="00EB17F6">
        <w:rPr>
          <w:color w:val="000000" w:themeColor="text1"/>
          <w:sz w:val="22"/>
          <w:szCs w:val="22"/>
          <w:vertAlign w:val="subscript"/>
        </w:rPr>
        <w:t>2</w:t>
      </w:r>
      <w:r w:rsidRPr="00EB17F6">
        <w:rPr>
          <w:color w:val="000000" w:themeColor="text1"/>
          <w:sz w:val="22"/>
          <w:szCs w:val="22"/>
        </w:rPr>
        <w:t xml:space="preserve"> age + β</w:t>
      </w:r>
      <w:r w:rsidRPr="00EB17F6">
        <w:rPr>
          <w:color w:val="000000" w:themeColor="text1"/>
          <w:sz w:val="22"/>
          <w:szCs w:val="22"/>
          <w:vertAlign w:val="subscript"/>
        </w:rPr>
        <w:t>3</w:t>
      </w:r>
      <w:r w:rsidRPr="00EB17F6">
        <w:rPr>
          <w:color w:val="000000" w:themeColor="text1"/>
          <w:sz w:val="22"/>
          <w:szCs w:val="22"/>
        </w:rPr>
        <w:t xml:space="preserve"> sex + β</w:t>
      </w:r>
      <w:r w:rsidRPr="00EB17F6">
        <w:rPr>
          <w:color w:val="000000" w:themeColor="text1"/>
          <w:sz w:val="22"/>
          <w:szCs w:val="22"/>
          <w:vertAlign w:val="subscript"/>
        </w:rPr>
        <w:t xml:space="preserve">4 </w:t>
      </w:r>
      <w:r w:rsidRPr="00EB17F6">
        <w:rPr>
          <w:color w:val="000000" w:themeColor="text1"/>
          <w:sz w:val="22"/>
          <w:szCs w:val="22"/>
        </w:rPr>
        <w:t>ethnicity + β</w:t>
      </w:r>
      <w:r w:rsidRPr="00EB17F6">
        <w:rPr>
          <w:color w:val="000000" w:themeColor="text1"/>
          <w:sz w:val="22"/>
          <w:szCs w:val="22"/>
          <w:vertAlign w:val="subscript"/>
        </w:rPr>
        <w:t xml:space="preserve">5 </w:t>
      </w:r>
      <w:r w:rsidRPr="00EB17F6">
        <w:rPr>
          <w:color w:val="000000" w:themeColor="text1"/>
          <w:sz w:val="22"/>
          <w:szCs w:val="22"/>
        </w:rPr>
        <w:t>education + β</w:t>
      </w:r>
      <w:r w:rsidRPr="00EB17F6">
        <w:rPr>
          <w:color w:val="000000" w:themeColor="text1"/>
          <w:sz w:val="22"/>
          <w:szCs w:val="22"/>
          <w:vertAlign w:val="subscript"/>
        </w:rPr>
        <w:t xml:space="preserve">6 </w:t>
      </w:r>
      <w:r w:rsidRPr="00EB17F6">
        <w:rPr>
          <w:color w:val="000000" w:themeColor="text1"/>
          <w:sz w:val="22"/>
          <w:szCs w:val="22"/>
        </w:rPr>
        <w:t>employment + ε</w:t>
      </w:r>
    </w:p>
    <w:p w:rsidR="005359D8" w:rsidRPr="00EB17F6" w:rsidRDefault="005359D8" w:rsidP="006C27A9">
      <w:pPr>
        <w:rPr>
          <w:color w:val="000000" w:themeColor="text1"/>
          <w:sz w:val="22"/>
          <w:szCs w:val="22"/>
        </w:rPr>
      </w:pPr>
      <w:r w:rsidRPr="00EB17F6">
        <w:rPr>
          <w:color w:val="000000" w:themeColor="text1"/>
          <w:sz w:val="22"/>
          <w:szCs w:val="22"/>
        </w:rPr>
        <w:t>1, 0, 0, 0, 0, 0</w:t>
      </w:r>
    </w:p>
    <w:p w:rsidR="005359D8" w:rsidRPr="00EB17F6" w:rsidRDefault="005359D8" w:rsidP="006C27A9">
      <w:pPr>
        <w:rPr>
          <w:color w:val="000000" w:themeColor="text1"/>
          <w:sz w:val="22"/>
          <w:szCs w:val="22"/>
        </w:rPr>
      </w:pPr>
      <w:r w:rsidRPr="00EB17F6">
        <w:rPr>
          <w:color w:val="000000" w:themeColor="text1"/>
          <w:sz w:val="22"/>
          <w:szCs w:val="22"/>
        </w:rPr>
        <w:t>-1, 0, 0, 0, 0, 0</w:t>
      </w:r>
    </w:p>
    <w:p w:rsidR="005359D8" w:rsidRDefault="005359D8" w:rsidP="001B744C">
      <w:pPr>
        <w:spacing w:line="480" w:lineRule="auto"/>
        <w:rPr>
          <w:sz w:val="22"/>
          <w:szCs w:val="22"/>
          <w:lang w:val="en-US"/>
        </w:rPr>
      </w:pPr>
    </w:p>
    <w:p w:rsidR="005359D8" w:rsidRPr="006C27A9" w:rsidRDefault="005359D8" w:rsidP="001B744C">
      <w:pPr>
        <w:spacing w:line="480" w:lineRule="auto"/>
        <w:rPr>
          <w:sz w:val="22"/>
          <w:szCs w:val="22"/>
          <w:lang w:val="en-US"/>
        </w:rPr>
      </w:pPr>
      <w:r w:rsidRPr="00EF2055">
        <w:rPr>
          <w:sz w:val="22"/>
          <w:szCs w:val="22"/>
          <w:lang w:val="en-US"/>
        </w:rPr>
        <w:t xml:space="preserve">(2) F-tests of pairs of markers, controlling for the third marker and socio-demographics as nuisance variables; (3) post-hoc t-tests based on the F-test results, controlling for the other two markers and socio-demographics as nuisance variables. </w:t>
      </w:r>
      <w:r w:rsidRPr="006C27A9">
        <w:rPr>
          <w:sz w:val="22"/>
          <w:szCs w:val="22"/>
          <w:lang w:val="en-US"/>
        </w:rPr>
        <w:t xml:space="preserve">The nature of the F-test is to ask a question (or formulate a hypothesis) along the lines of: is the FSRS or MetS or AL index effect, or any combination of them, significantly non-zero? </w:t>
      </w:r>
      <w:r w:rsidRPr="00EF2055">
        <w:rPr>
          <w:sz w:val="22"/>
          <w:szCs w:val="22"/>
          <w:lang w:val="en-US"/>
        </w:rPr>
        <w:t>More specifically, the following three F-</w:t>
      </w:r>
      <w:r w:rsidRPr="00F84487">
        <w:rPr>
          <w:sz w:val="22"/>
          <w:szCs w:val="22"/>
          <w:lang w:val="en-US"/>
        </w:rPr>
        <w:t xml:space="preserve">tests were run </w:t>
      </w:r>
      <w:r w:rsidRPr="00052063">
        <w:rPr>
          <w:sz w:val="22"/>
          <w:szCs w:val="22"/>
          <w:lang w:val="en-US"/>
        </w:rPr>
        <w:t>in order to determine the relative importance of specific markers on brain structure</w:t>
      </w:r>
      <w:r w:rsidRPr="00F84487">
        <w:rPr>
          <w:sz w:val="22"/>
          <w:szCs w:val="22"/>
          <w:lang w:val="en-US"/>
        </w:rPr>
        <w:t>: F</w:t>
      </w:r>
      <w:r w:rsidRPr="00EF2055">
        <w:rPr>
          <w:sz w:val="22"/>
          <w:szCs w:val="22"/>
          <w:lang w:val="en-US"/>
        </w:rPr>
        <w:t xml:space="preserve">-test 1 of MetS and AL index controlling for FSRS and socio-demographics as nuisance variables; F-test 2 of FSRS and AL index controlling for MetS and socio-demographics as nuisance variables; and F-test 3 of FSRS and MetS </w:t>
      </w:r>
      <w:r w:rsidRPr="00EF2055">
        <w:rPr>
          <w:sz w:val="22"/>
          <w:szCs w:val="22"/>
          <w:lang w:val="en-US"/>
        </w:rPr>
        <w:lastRenderedPageBreak/>
        <w:t xml:space="preserve">controlling for AL index and socio-demographics as nuisance variables. Whenever a significant F-test was found, further post-hoc t-tests were run to see if controlling for two of the three markers and socio-demographics as nuisance variables also yielded a result. For example, F-test 1 results indicate whether MetS or AL index or both </w:t>
      </w:r>
      <w:r>
        <w:rPr>
          <w:sz w:val="22"/>
          <w:szCs w:val="22"/>
          <w:lang w:val="en-US"/>
        </w:rPr>
        <w:t>are</w:t>
      </w:r>
      <w:r w:rsidRPr="00EF2055">
        <w:rPr>
          <w:sz w:val="22"/>
          <w:szCs w:val="22"/>
          <w:lang w:val="en-US"/>
        </w:rPr>
        <w:t xml:space="preserve"> correlated with voxelwise GM and DTI data, after controlling for FSRS and socio-demographics as nuisance variables. If F-test 1 was significant, a post-hoc t-test of MetS (t-test 1, t1) and AL index (t-test 2, t2) with voxelwise GM and DTI measures were run, controlling for the other markers and socio-demographics as nuisance variables. If F-test 2 was significant, a post-hoc t-test of FSRS (t-test 3, i.e. t3) and AL index (t-test 4, i.e. t4) were run, controlling for the other markers and socio-demographics as nuisance variables. Finally, if F-test 3 was significant, a post-hoc t-test of FSRS (t-test 5, i.e. t5) and MetS (t-test 6, i.e. t6) </w:t>
      </w:r>
      <w:r w:rsidRPr="006C27A9">
        <w:rPr>
          <w:sz w:val="22"/>
          <w:szCs w:val="22"/>
          <w:lang w:val="en-US"/>
        </w:rPr>
        <w:t>were run, controlling for the other markers and socio-demographics as nuisance variables.</w:t>
      </w:r>
    </w:p>
    <w:p w:rsidR="005359D8" w:rsidRPr="00F4519D" w:rsidRDefault="005359D8" w:rsidP="006C27A9">
      <w:pPr>
        <w:spacing w:after="160"/>
        <w:rPr>
          <w:color w:val="000000" w:themeColor="text1"/>
          <w:sz w:val="22"/>
          <w:szCs w:val="22"/>
        </w:rPr>
      </w:pPr>
      <w:r w:rsidRPr="00F4519D">
        <w:rPr>
          <w:color w:val="000000" w:themeColor="text1"/>
          <w:sz w:val="22"/>
          <w:szCs w:val="22"/>
        </w:rPr>
        <w:t>Y = β</w:t>
      </w:r>
      <w:r w:rsidRPr="00F4519D">
        <w:rPr>
          <w:color w:val="000000" w:themeColor="text1"/>
          <w:sz w:val="22"/>
          <w:szCs w:val="22"/>
          <w:vertAlign w:val="subscript"/>
        </w:rPr>
        <w:t>1</w:t>
      </w:r>
      <w:r w:rsidRPr="00F4519D">
        <w:rPr>
          <w:color w:val="000000" w:themeColor="text1"/>
          <w:sz w:val="22"/>
          <w:szCs w:val="22"/>
        </w:rPr>
        <w:t xml:space="preserve"> FSRS + β</w:t>
      </w:r>
      <w:r w:rsidRPr="00F4519D">
        <w:rPr>
          <w:color w:val="000000" w:themeColor="text1"/>
          <w:sz w:val="22"/>
          <w:szCs w:val="22"/>
          <w:vertAlign w:val="subscript"/>
        </w:rPr>
        <w:t>2</w:t>
      </w:r>
      <w:r w:rsidRPr="00F4519D">
        <w:rPr>
          <w:color w:val="000000" w:themeColor="text1"/>
          <w:sz w:val="22"/>
          <w:szCs w:val="22"/>
        </w:rPr>
        <w:t xml:space="preserve"> MetS + β</w:t>
      </w:r>
      <w:r w:rsidRPr="00F4519D">
        <w:rPr>
          <w:color w:val="000000" w:themeColor="text1"/>
          <w:sz w:val="22"/>
          <w:szCs w:val="22"/>
          <w:vertAlign w:val="subscript"/>
        </w:rPr>
        <w:t>3</w:t>
      </w:r>
      <w:r w:rsidRPr="00F4519D">
        <w:rPr>
          <w:color w:val="000000" w:themeColor="text1"/>
          <w:sz w:val="22"/>
          <w:szCs w:val="22"/>
        </w:rPr>
        <w:t xml:space="preserve"> AL + β</w:t>
      </w:r>
      <w:r w:rsidRPr="00F4519D">
        <w:rPr>
          <w:color w:val="000000" w:themeColor="text1"/>
          <w:sz w:val="22"/>
          <w:szCs w:val="22"/>
          <w:vertAlign w:val="subscript"/>
        </w:rPr>
        <w:t>4</w:t>
      </w:r>
      <w:r w:rsidRPr="00F4519D">
        <w:rPr>
          <w:color w:val="000000" w:themeColor="text1"/>
          <w:sz w:val="22"/>
          <w:szCs w:val="22"/>
        </w:rPr>
        <w:t xml:space="preserve"> age + β</w:t>
      </w:r>
      <w:r w:rsidRPr="00F4519D">
        <w:rPr>
          <w:color w:val="000000" w:themeColor="text1"/>
          <w:sz w:val="22"/>
          <w:szCs w:val="22"/>
          <w:vertAlign w:val="subscript"/>
        </w:rPr>
        <w:t xml:space="preserve">5 </w:t>
      </w:r>
      <w:r w:rsidRPr="00F4519D">
        <w:rPr>
          <w:color w:val="000000" w:themeColor="text1"/>
          <w:sz w:val="22"/>
          <w:szCs w:val="22"/>
        </w:rPr>
        <w:t>sex + β</w:t>
      </w:r>
      <w:r w:rsidRPr="00F4519D">
        <w:rPr>
          <w:color w:val="000000" w:themeColor="text1"/>
          <w:sz w:val="22"/>
          <w:szCs w:val="22"/>
          <w:vertAlign w:val="subscript"/>
        </w:rPr>
        <w:t xml:space="preserve">6 </w:t>
      </w:r>
      <w:r w:rsidRPr="00F4519D">
        <w:rPr>
          <w:color w:val="000000" w:themeColor="text1"/>
          <w:sz w:val="22"/>
          <w:szCs w:val="22"/>
        </w:rPr>
        <w:t>ethnicity + β</w:t>
      </w:r>
      <w:r w:rsidRPr="00F4519D">
        <w:rPr>
          <w:color w:val="000000" w:themeColor="text1"/>
          <w:sz w:val="22"/>
          <w:szCs w:val="22"/>
          <w:vertAlign w:val="subscript"/>
        </w:rPr>
        <w:t xml:space="preserve">7 </w:t>
      </w:r>
      <w:r w:rsidRPr="00F4519D">
        <w:rPr>
          <w:color w:val="000000" w:themeColor="text1"/>
          <w:sz w:val="22"/>
          <w:szCs w:val="22"/>
        </w:rPr>
        <w:t>education + β</w:t>
      </w:r>
      <w:r w:rsidRPr="00F4519D">
        <w:rPr>
          <w:color w:val="000000" w:themeColor="text1"/>
          <w:sz w:val="22"/>
          <w:szCs w:val="22"/>
          <w:vertAlign w:val="subscript"/>
        </w:rPr>
        <w:t xml:space="preserve">8 </w:t>
      </w:r>
      <w:r w:rsidRPr="00F4519D">
        <w:rPr>
          <w:color w:val="000000" w:themeColor="text1"/>
          <w:sz w:val="22"/>
          <w:szCs w:val="22"/>
        </w:rPr>
        <w:t>employment + ε</w:t>
      </w:r>
    </w:p>
    <w:p w:rsidR="005359D8" w:rsidRPr="00F4519D" w:rsidRDefault="005359D8" w:rsidP="006C27A9">
      <w:pPr>
        <w:rPr>
          <w:color w:val="000000" w:themeColor="text1"/>
          <w:sz w:val="22"/>
          <w:szCs w:val="22"/>
        </w:rPr>
      </w:pPr>
      <w:r w:rsidRPr="00F4519D">
        <w:rPr>
          <w:color w:val="000000" w:themeColor="text1"/>
          <w:sz w:val="22"/>
          <w:szCs w:val="22"/>
        </w:rPr>
        <w:t>0, -1, 0, 0, 0, 0, 0, 0, 0</w:t>
      </w:r>
    </w:p>
    <w:p w:rsidR="005359D8" w:rsidRPr="00F4519D" w:rsidRDefault="005359D8" w:rsidP="006C27A9">
      <w:pPr>
        <w:rPr>
          <w:color w:val="000000" w:themeColor="text1"/>
          <w:sz w:val="22"/>
          <w:szCs w:val="22"/>
        </w:rPr>
      </w:pPr>
      <w:r w:rsidRPr="00F4519D">
        <w:rPr>
          <w:color w:val="000000" w:themeColor="text1"/>
          <w:sz w:val="22"/>
          <w:szCs w:val="22"/>
        </w:rPr>
        <w:t>0, 0, -1, 0, 0, 0, 0, 0, 0</w:t>
      </w:r>
    </w:p>
    <w:p w:rsidR="005359D8" w:rsidRPr="00F4519D" w:rsidRDefault="005359D8" w:rsidP="006C27A9">
      <w:pPr>
        <w:rPr>
          <w:color w:val="000000" w:themeColor="text1"/>
          <w:sz w:val="22"/>
          <w:szCs w:val="22"/>
        </w:rPr>
      </w:pPr>
    </w:p>
    <w:p w:rsidR="005359D8" w:rsidRPr="00F4519D" w:rsidRDefault="005359D8" w:rsidP="006C27A9">
      <w:pPr>
        <w:rPr>
          <w:color w:val="000000" w:themeColor="text1"/>
          <w:sz w:val="22"/>
          <w:szCs w:val="22"/>
        </w:rPr>
      </w:pPr>
      <w:r w:rsidRPr="00F4519D">
        <w:rPr>
          <w:color w:val="000000" w:themeColor="text1"/>
          <w:sz w:val="22"/>
          <w:szCs w:val="22"/>
        </w:rPr>
        <w:t>-1, 0, 0, 0, 0, 0, 0, 0, 0</w:t>
      </w:r>
    </w:p>
    <w:p w:rsidR="005359D8" w:rsidRPr="00F4519D" w:rsidRDefault="005359D8" w:rsidP="006C27A9">
      <w:pPr>
        <w:rPr>
          <w:color w:val="000000" w:themeColor="text1"/>
          <w:sz w:val="22"/>
          <w:szCs w:val="22"/>
        </w:rPr>
      </w:pPr>
      <w:r w:rsidRPr="00F4519D">
        <w:rPr>
          <w:color w:val="000000" w:themeColor="text1"/>
          <w:sz w:val="22"/>
          <w:szCs w:val="22"/>
        </w:rPr>
        <w:t>0, 0, -1, 0, 0, 0, 0, 0, 0</w:t>
      </w:r>
    </w:p>
    <w:p w:rsidR="005359D8" w:rsidRPr="00F4519D" w:rsidRDefault="005359D8" w:rsidP="006C27A9">
      <w:pPr>
        <w:rPr>
          <w:color w:val="000000" w:themeColor="text1"/>
          <w:sz w:val="22"/>
          <w:szCs w:val="22"/>
        </w:rPr>
      </w:pPr>
    </w:p>
    <w:p w:rsidR="005359D8" w:rsidRPr="00F4519D" w:rsidRDefault="005359D8" w:rsidP="006C27A9">
      <w:pPr>
        <w:rPr>
          <w:color w:val="000000" w:themeColor="text1"/>
          <w:sz w:val="22"/>
          <w:szCs w:val="22"/>
        </w:rPr>
      </w:pPr>
      <w:r w:rsidRPr="00F4519D">
        <w:rPr>
          <w:color w:val="000000" w:themeColor="text1"/>
          <w:sz w:val="22"/>
          <w:szCs w:val="22"/>
        </w:rPr>
        <w:t>-1, 0, 0, 0, 0, 0, 0, 0, 0</w:t>
      </w:r>
    </w:p>
    <w:p w:rsidR="005359D8" w:rsidRPr="00F4519D" w:rsidRDefault="005359D8" w:rsidP="006C27A9">
      <w:pPr>
        <w:rPr>
          <w:color w:val="000000" w:themeColor="text1"/>
          <w:sz w:val="22"/>
          <w:szCs w:val="22"/>
        </w:rPr>
      </w:pPr>
      <w:r w:rsidRPr="00F4519D">
        <w:rPr>
          <w:color w:val="000000" w:themeColor="text1"/>
          <w:sz w:val="22"/>
          <w:szCs w:val="22"/>
        </w:rPr>
        <w:t>0, -1, 0, 0, 0, 0, 0, 0, 0</w:t>
      </w:r>
    </w:p>
    <w:p w:rsidR="005359D8" w:rsidRDefault="005359D8" w:rsidP="001B744C">
      <w:pPr>
        <w:spacing w:line="480" w:lineRule="auto"/>
        <w:rPr>
          <w:rFonts w:ascii="Calibri" w:eastAsia="MS Mincho" w:hAnsi="Calibri" w:cs="Times New Roman"/>
          <w:color w:val="000000"/>
          <w:sz w:val="22"/>
          <w:szCs w:val="22"/>
          <w:lang w:val="en-US" w:eastAsia="en-GB"/>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p>
    <w:p w:rsidR="005359D8" w:rsidRDefault="005359D8" w:rsidP="00CC1A1A">
      <w:pPr>
        <w:rPr>
          <w:lang w:val="en-US"/>
        </w:rPr>
      </w:pPr>
      <w:r>
        <w:rPr>
          <w:lang w:val="en-US"/>
        </w:rPr>
        <w:lastRenderedPageBreak/>
        <w:t>Supplementary Table S1. Metabolic syndrome and allostatic load index composite measure cut-offs.</w:t>
      </w:r>
    </w:p>
    <w:p w:rsidR="005359D8" w:rsidRDefault="005359D8" w:rsidP="00CC1A1A">
      <w:pPr>
        <w:rPr>
          <w:lang w:val="en-US"/>
        </w:rPr>
      </w:pPr>
    </w:p>
    <w:p w:rsidR="005359D8" w:rsidRDefault="005359D8" w:rsidP="00CC1A1A">
      <w:pPr>
        <w:rPr>
          <w:lang w:val="en-US"/>
        </w:rPr>
      </w:pPr>
    </w:p>
    <w:tbl>
      <w:tblPr>
        <w:tblStyle w:val="ListTable2-Accent11"/>
        <w:tblW w:w="5742" w:type="dxa"/>
        <w:tblBorders>
          <w:top w:val="none" w:sz="0" w:space="0" w:color="auto"/>
          <w:bottom w:val="none" w:sz="0" w:space="0" w:color="auto"/>
          <w:insideH w:val="none" w:sz="0" w:space="0" w:color="auto"/>
        </w:tblBorders>
        <w:tblLayout w:type="fixed"/>
        <w:tblLook w:val="06A0" w:firstRow="1" w:lastRow="0" w:firstColumn="1" w:lastColumn="0" w:noHBand="1" w:noVBand="1"/>
      </w:tblPr>
      <w:tblGrid>
        <w:gridCol w:w="2235"/>
        <w:gridCol w:w="1842"/>
        <w:gridCol w:w="1665"/>
      </w:tblGrid>
      <w:tr w:rsidR="005359D8" w:rsidRPr="00543C90" w:rsidTr="005F1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noWrap/>
          </w:tcPr>
          <w:p w:rsidR="005359D8" w:rsidRPr="00543C90" w:rsidRDefault="005359D8" w:rsidP="005F171C">
            <w:pPr>
              <w:rPr>
                <w:rFonts w:ascii="Calibri" w:eastAsia="Times New Roman" w:hAnsi="Calibri" w:cs="Times New Roman"/>
                <w:color w:val="000000"/>
                <w:sz w:val="22"/>
                <w:szCs w:val="22"/>
                <w:lang w:eastAsia="en-GB"/>
              </w:rPr>
            </w:pPr>
          </w:p>
        </w:tc>
        <w:tc>
          <w:tcPr>
            <w:tcW w:w="1842" w:type="dxa"/>
            <w:tcBorders>
              <w:bottom w:val="single" w:sz="4" w:space="0" w:color="auto"/>
            </w:tcBorders>
            <w:noWrap/>
            <w:vAlign w:val="center"/>
          </w:tcPr>
          <w:p w:rsidR="005359D8" w:rsidRPr="00543C90" w:rsidRDefault="005359D8" w:rsidP="005F171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Metabolic Syndrome</w:t>
            </w:r>
          </w:p>
        </w:tc>
        <w:tc>
          <w:tcPr>
            <w:tcW w:w="1665" w:type="dxa"/>
            <w:tcBorders>
              <w:bottom w:val="single" w:sz="4" w:space="0" w:color="auto"/>
            </w:tcBorders>
            <w:vAlign w:val="center"/>
          </w:tcPr>
          <w:p w:rsidR="005359D8" w:rsidRPr="00543C90" w:rsidRDefault="005359D8" w:rsidP="005F171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Allostatic</w:t>
            </w:r>
          </w:p>
          <w:p w:rsidR="005359D8" w:rsidRPr="00543C90" w:rsidRDefault="005359D8" w:rsidP="005F171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Load Index</w:t>
            </w:r>
          </w:p>
        </w:tc>
      </w:tr>
      <w:tr w:rsidR="005359D8" w:rsidRPr="00543C90" w:rsidTr="005F171C">
        <w:trPr>
          <w:trHeight w:val="424"/>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auto"/>
            </w:tcBorders>
            <w:shd w:val="clear" w:color="auto" w:fill="auto"/>
            <w:vAlign w:val="center"/>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Blood pressure</w:t>
            </w:r>
          </w:p>
        </w:tc>
        <w:tc>
          <w:tcPr>
            <w:tcW w:w="1842" w:type="dxa"/>
            <w:tcBorders>
              <w:top w:val="single" w:sz="4" w:space="0" w:color="auto"/>
            </w:tcBorders>
            <w:shd w:val="clear" w:color="auto" w:fill="auto"/>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 130/85 mmHg</w:t>
            </w:r>
          </w:p>
        </w:tc>
        <w:tc>
          <w:tcPr>
            <w:tcW w:w="1665" w:type="dxa"/>
            <w:vMerge w:val="restart"/>
            <w:tcBorders>
              <w:top w:val="single" w:sz="4" w:space="0" w:color="auto"/>
            </w:tcBorders>
            <w:shd w:val="clear" w:color="auto" w:fill="auto"/>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 140/90 mmHg</w:t>
            </w:r>
          </w:p>
        </w:tc>
      </w:tr>
      <w:tr w:rsidR="005359D8" w:rsidRPr="00543C90" w:rsidTr="005F171C">
        <w:trPr>
          <w:trHeight w:val="436"/>
        </w:trPr>
        <w:tc>
          <w:tcPr>
            <w:cnfStyle w:val="001000000000" w:firstRow="0" w:lastRow="0" w:firstColumn="1" w:lastColumn="0" w:oddVBand="0" w:evenVBand="0" w:oddHBand="0" w:evenHBand="0" w:firstRowFirstColumn="0" w:firstRowLastColumn="0" w:lastRowFirstColumn="0" w:lastRowLastColumn="0"/>
            <w:tcW w:w="2235" w:type="dxa"/>
            <w:vMerge/>
            <w:vAlign w:val="center"/>
            <w:hideMark/>
          </w:tcPr>
          <w:p w:rsidR="005359D8" w:rsidRPr="00543C90" w:rsidRDefault="005359D8" w:rsidP="005F171C">
            <w:pPr>
              <w:rPr>
                <w:rFonts w:ascii="Calibri" w:eastAsia="Times New Roman" w:hAnsi="Calibri" w:cs="Times New Roman"/>
                <w:color w:val="000000"/>
                <w:sz w:val="22"/>
                <w:szCs w:val="22"/>
                <w:lang w:eastAsia="en-GB"/>
              </w:rPr>
            </w:pPr>
          </w:p>
        </w:tc>
        <w:tc>
          <w:tcPr>
            <w:tcW w:w="1842" w:type="dxa"/>
            <w:vAlign w:val="center"/>
            <w:hideMark/>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 xml:space="preserve">Antihypertensives </w:t>
            </w:r>
          </w:p>
        </w:tc>
        <w:tc>
          <w:tcPr>
            <w:tcW w:w="1665" w:type="dxa"/>
            <w:vMerge/>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p>
        </w:tc>
      </w:tr>
      <w:tr w:rsidR="005359D8" w:rsidRPr="00543C90" w:rsidTr="005F171C">
        <w:trPr>
          <w:trHeight w:val="414"/>
        </w:trPr>
        <w:tc>
          <w:tcPr>
            <w:cnfStyle w:val="001000000000" w:firstRow="0" w:lastRow="0" w:firstColumn="1" w:lastColumn="0" w:oddVBand="0" w:evenVBand="0" w:oddHBand="0" w:evenHBand="0" w:firstRowFirstColumn="0" w:firstRowLastColumn="0" w:lastRowFirstColumn="0" w:lastRowLastColumn="0"/>
            <w:tcW w:w="2235" w:type="dxa"/>
            <w:vAlign w:val="center"/>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Waist circumference</w:t>
            </w:r>
          </w:p>
        </w:tc>
        <w:tc>
          <w:tcPr>
            <w:tcW w:w="1842"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p>
        </w:tc>
        <w:tc>
          <w:tcPr>
            <w:tcW w:w="1665" w:type="dxa"/>
            <w:vMerge w:val="restart"/>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N/A</w:t>
            </w:r>
          </w:p>
        </w:tc>
      </w:tr>
      <w:tr w:rsidR="005359D8" w:rsidRPr="00543C90" w:rsidTr="005F171C">
        <w:tc>
          <w:tcPr>
            <w:cnfStyle w:val="001000000000" w:firstRow="0" w:lastRow="0" w:firstColumn="1" w:lastColumn="0" w:oddVBand="0" w:evenVBand="0" w:oddHBand="0" w:evenHBand="0" w:firstRowFirstColumn="0" w:firstRowLastColumn="0" w:lastRowFirstColumn="0" w:lastRowLastColumn="0"/>
            <w:tcW w:w="2235" w:type="dxa"/>
            <w:hideMark/>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Men</w:t>
            </w:r>
          </w:p>
        </w:tc>
        <w:tc>
          <w:tcPr>
            <w:tcW w:w="1842" w:type="dxa"/>
            <w:vAlign w:val="center"/>
            <w:hideMark/>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&gt; 102cm</w:t>
            </w:r>
          </w:p>
        </w:tc>
        <w:tc>
          <w:tcPr>
            <w:tcW w:w="1665" w:type="dxa"/>
            <w:vMerge/>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p>
        </w:tc>
      </w:tr>
      <w:tr w:rsidR="005359D8" w:rsidRPr="00543C90" w:rsidTr="005F171C">
        <w:tc>
          <w:tcPr>
            <w:cnfStyle w:val="001000000000" w:firstRow="0" w:lastRow="0" w:firstColumn="1" w:lastColumn="0" w:oddVBand="0" w:evenVBand="0" w:oddHBand="0" w:evenHBand="0" w:firstRowFirstColumn="0" w:firstRowLastColumn="0" w:lastRowFirstColumn="0" w:lastRowLastColumn="0"/>
            <w:tcW w:w="2235" w:type="dxa"/>
            <w:hideMark/>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Women</w:t>
            </w:r>
          </w:p>
        </w:tc>
        <w:tc>
          <w:tcPr>
            <w:tcW w:w="1842" w:type="dxa"/>
            <w:vAlign w:val="center"/>
            <w:hideMark/>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&gt; 88cm</w:t>
            </w:r>
          </w:p>
        </w:tc>
        <w:tc>
          <w:tcPr>
            <w:tcW w:w="1665" w:type="dxa"/>
            <w:vMerge/>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p>
        </w:tc>
      </w:tr>
      <w:tr w:rsidR="005359D8" w:rsidRPr="00543C90" w:rsidTr="005F171C">
        <w:trPr>
          <w:trHeight w:val="41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Fasting glucose</w:t>
            </w:r>
          </w:p>
        </w:tc>
        <w:tc>
          <w:tcPr>
            <w:tcW w:w="1842" w:type="dxa"/>
            <w:noWrap/>
            <w:vAlign w:val="center"/>
            <w:hideMark/>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 6.11 mmol/L</w:t>
            </w:r>
          </w:p>
        </w:tc>
        <w:tc>
          <w:tcPr>
            <w:tcW w:w="1665"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 5.50 mmol/L</w:t>
            </w:r>
          </w:p>
        </w:tc>
      </w:tr>
      <w:tr w:rsidR="005359D8" w:rsidRPr="00543C90" w:rsidTr="005F171C">
        <w:trPr>
          <w:trHeight w:val="416"/>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HDL cholesterol</w:t>
            </w:r>
          </w:p>
        </w:tc>
        <w:tc>
          <w:tcPr>
            <w:tcW w:w="1842" w:type="dxa"/>
            <w:vAlign w:val="center"/>
            <w:hideMark/>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p>
        </w:tc>
        <w:tc>
          <w:tcPr>
            <w:tcW w:w="1665"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p>
        </w:tc>
      </w:tr>
      <w:tr w:rsidR="005359D8" w:rsidRPr="00543C90" w:rsidTr="005F171C">
        <w:tc>
          <w:tcPr>
            <w:cnfStyle w:val="001000000000" w:firstRow="0" w:lastRow="0" w:firstColumn="1" w:lastColumn="0" w:oddVBand="0" w:evenVBand="0" w:oddHBand="0" w:evenHBand="0" w:firstRowFirstColumn="0" w:firstRowLastColumn="0" w:lastRowFirstColumn="0" w:lastRowLastColumn="0"/>
            <w:tcW w:w="2235" w:type="dxa"/>
            <w:noWrap/>
            <w:hideMark/>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Men</w:t>
            </w:r>
          </w:p>
        </w:tc>
        <w:tc>
          <w:tcPr>
            <w:tcW w:w="1842" w:type="dxa"/>
            <w:vAlign w:val="center"/>
            <w:hideMark/>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&lt; 1.03 mmol/L</w:t>
            </w:r>
          </w:p>
        </w:tc>
        <w:tc>
          <w:tcPr>
            <w:tcW w:w="1665" w:type="dxa"/>
            <w:vMerge w:val="restart"/>
            <w:vAlign w:val="center"/>
          </w:tcPr>
          <w:p w:rsidR="005359D8" w:rsidRPr="00543C90" w:rsidRDefault="005359D8" w:rsidP="005F171C">
            <w:pPr>
              <w:tabs>
                <w:tab w:val="left" w:pos="1237"/>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&lt; 1.03 mmol/L</w:t>
            </w:r>
          </w:p>
        </w:tc>
      </w:tr>
      <w:tr w:rsidR="005359D8" w:rsidRPr="00543C90" w:rsidTr="005F171C">
        <w:tc>
          <w:tcPr>
            <w:cnfStyle w:val="001000000000" w:firstRow="0" w:lastRow="0" w:firstColumn="1" w:lastColumn="0" w:oddVBand="0" w:evenVBand="0" w:oddHBand="0" w:evenHBand="0" w:firstRowFirstColumn="0" w:firstRowLastColumn="0" w:lastRowFirstColumn="0" w:lastRowLastColumn="0"/>
            <w:tcW w:w="2235" w:type="dxa"/>
            <w:noWrap/>
            <w:hideMark/>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Women</w:t>
            </w:r>
          </w:p>
        </w:tc>
        <w:tc>
          <w:tcPr>
            <w:tcW w:w="1842" w:type="dxa"/>
            <w:vAlign w:val="center"/>
            <w:hideMark/>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&lt; 1.30 mmol/L</w:t>
            </w:r>
          </w:p>
        </w:tc>
        <w:tc>
          <w:tcPr>
            <w:tcW w:w="1665" w:type="dxa"/>
            <w:vMerge/>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p>
        </w:tc>
      </w:tr>
      <w:tr w:rsidR="005359D8" w:rsidRPr="00543C90" w:rsidTr="005F171C">
        <w:trPr>
          <w:trHeight w:val="429"/>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Serum triglycerides</w:t>
            </w:r>
          </w:p>
        </w:tc>
        <w:tc>
          <w:tcPr>
            <w:tcW w:w="1842"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 1.70 mmol/L</w:t>
            </w:r>
          </w:p>
        </w:tc>
        <w:tc>
          <w:tcPr>
            <w:tcW w:w="1665"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 1.70 mmol/L</w:t>
            </w:r>
          </w:p>
        </w:tc>
      </w:tr>
      <w:tr w:rsidR="005359D8" w:rsidRPr="00543C90" w:rsidTr="005F171C">
        <w:trPr>
          <w:trHeight w:val="442"/>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Body mass index</w:t>
            </w:r>
          </w:p>
        </w:tc>
        <w:tc>
          <w:tcPr>
            <w:tcW w:w="1842"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N/A</w:t>
            </w:r>
          </w:p>
        </w:tc>
        <w:tc>
          <w:tcPr>
            <w:tcW w:w="1665"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 25 kg/mm²</w:t>
            </w:r>
          </w:p>
        </w:tc>
      </w:tr>
      <w:tr w:rsidR="005359D8" w:rsidRPr="00543C90" w:rsidTr="005F171C">
        <w:trPr>
          <w:trHeight w:val="406"/>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Fasting insulin</w:t>
            </w:r>
          </w:p>
        </w:tc>
        <w:tc>
          <w:tcPr>
            <w:tcW w:w="1842"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N/A</w:t>
            </w:r>
          </w:p>
        </w:tc>
        <w:tc>
          <w:tcPr>
            <w:tcW w:w="1665"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 7.53 mcU/ml</w:t>
            </w:r>
          </w:p>
        </w:tc>
      </w:tr>
      <w:tr w:rsidR="005359D8" w:rsidRPr="00543C90" w:rsidTr="005F171C">
        <w:trPr>
          <w:trHeight w:val="412"/>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LDL cholesterol</w:t>
            </w:r>
          </w:p>
        </w:tc>
        <w:tc>
          <w:tcPr>
            <w:tcW w:w="1842"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N/A</w:t>
            </w:r>
          </w:p>
        </w:tc>
        <w:tc>
          <w:tcPr>
            <w:tcW w:w="1665"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 3.36 mmol/L</w:t>
            </w:r>
          </w:p>
        </w:tc>
      </w:tr>
      <w:tr w:rsidR="005359D8" w:rsidRPr="00543C90" w:rsidTr="005F171C">
        <w:trPr>
          <w:trHeight w:val="404"/>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CRP</w:t>
            </w:r>
          </w:p>
        </w:tc>
        <w:tc>
          <w:tcPr>
            <w:tcW w:w="1842"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N/A</w:t>
            </w:r>
          </w:p>
        </w:tc>
        <w:tc>
          <w:tcPr>
            <w:tcW w:w="1665"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 3.00 mg/L</w:t>
            </w:r>
          </w:p>
        </w:tc>
      </w:tr>
      <w:tr w:rsidR="005359D8" w:rsidRPr="00543C90" w:rsidTr="005F171C">
        <w:trPr>
          <w:trHeight w:val="424"/>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5359D8" w:rsidRPr="00543C90" w:rsidRDefault="005359D8" w:rsidP="005F171C">
            <w:pPr>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IL-6</w:t>
            </w:r>
          </w:p>
        </w:tc>
        <w:tc>
          <w:tcPr>
            <w:tcW w:w="1842" w:type="dxa"/>
            <w:vAlign w:val="center"/>
            <w:hideMark/>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N/A</w:t>
            </w:r>
          </w:p>
        </w:tc>
        <w:tc>
          <w:tcPr>
            <w:tcW w:w="1665" w:type="dxa"/>
            <w:vAlign w:val="center"/>
          </w:tcPr>
          <w:p w:rsidR="005359D8" w:rsidRPr="00543C90"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543C90">
              <w:rPr>
                <w:rFonts w:ascii="Calibri" w:eastAsia="Times New Roman" w:hAnsi="Calibri" w:cs="Times New Roman"/>
                <w:color w:val="000000"/>
                <w:sz w:val="22"/>
                <w:szCs w:val="22"/>
                <w:lang w:eastAsia="en-GB"/>
              </w:rPr>
              <w:t>≥ 1.85 pg/ml</w:t>
            </w:r>
          </w:p>
        </w:tc>
      </w:tr>
    </w:tbl>
    <w:p w:rsidR="005359D8" w:rsidRDefault="005359D8" w:rsidP="00CC1A1A">
      <w:pPr>
        <w:spacing w:before="120" w:line="276" w:lineRule="auto"/>
        <w:ind w:right="446"/>
        <w:rPr>
          <w:rFonts w:ascii="Calibri" w:eastAsia="MS Mincho" w:hAnsi="Calibri" w:cs="Times New Roman"/>
          <w:noProof/>
          <w:color w:val="000000"/>
          <w:sz w:val="22"/>
          <w:szCs w:val="22"/>
          <w:lang w:val="en-US" w:eastAsia="en-GB"/>
        </w:rPr>
      </w:pPr>
      <w:r w:rsidRPr="00543C90">
        <w:rPr>
          <w:rFonts w:ascii="Calibri" w:eastAsia="MS Mincho" w:hAnsi="Calibri" w:cs="Times New Roman"/>
          <w:noProof/>
          <w:color w:val="000000"/>
          <w:sz w:val="22"/>
          <w:szCs w:val="22"/>
          <w:lang w:val="en-US" w:eastAsia="en-GB"/>
        </w:rPr>
        <w:t xml:space="preserve">Comparison of </w:t>
      </w:r>
      <w:r>
        <w:rPr>
          <w:rFonts w:ascii="Calibri" w:eastAsia="MS Mincho" w:hAnsi="Calibri" w:cs="Times New Roman"/>
          <w:noProof/>
          <w:color w:val="000000"/>
          <w:sz w:val="22"/>
          <w:szCs w:val="22"/>
          <w:lang w:val="en-US" w:eastAsia="en-GB"/>
        </w:rPr>
        <w:t>the m</w:t>
      </w:r>
      <w:r w:rsidRPr="00543C90">
        <w:rPr>
          <w:rFonts w:ascii="Calibri" w:eastAsia="MS Mincho" w:hAnsi="Calibri" w:cs="Times New Roman"/>
          <w:noProof/>
          <w:color w:val="000000"/>
          <w:sz w:val="22"/>
          <w:szCs w:val="22"/>
          <w:lang w:val="en-US" w:eastAsia="en-GB"/>
        </w:rPr>
        <w:t xml:space="preserve">etabolic </w:t>
      </w:r>
      <w:r>
        <w:rPr>
          <w:rFonts w:ascii="Calibri" w:eastAsia="MS Mincho" w:hAnsi="Calibri" w:cs="Times New Roman"/>
          <w:noProof/>
          <w:color w:val="000000"/>
          <w:sz w:val="22"/>
          <w:szCs w:val="22"/>
          <w:lang w:val="en-US" w:eastAsia="en-GB"/>
        </w:rPr>
        <w:t>s</w:t>
      </w:r>
      <w:r w:rsidRPr="00543C90">
        <w:rPr>
          <w:rFonts w:ascii="Calibri" w:eastAsia="MS Mincho" w:hAnsi="Calibri" w:cs="Times New Roman"/>
          <w:noProof/>
          <w:color w:val="000000"/>
          <w:sz w:val="22"/>
          <w:szCs w:val="22"/>
          <w:lang w:val="en-US" w:eastAsia="en-GB"/>
        </w:rPr>
        <w:t xml:space="preserve">yndrome and </w:t>
      </w:r>
      <w:r>
        <w:rPr>
          <w:rFonts w:ascii="Calibri" w:eastAsia="MS Mincho" w:hAnsi="Calibri" w:cs="Times New Roman"/>
          <w:noProof/>
          <w:color w:val="000000"/>
          <w:sz w:val="22"/>
          <w:szCs w:val="22"/>
          <w:lang w:val="en-US" w:eastAsia="en-GB"/>
        </w:rPr>
        <w:t>a</w:t>
      </w:r>
      <w:r w:rsidRPr="00543C90">
        <w:rPr>
          <w:rFonts w:ascii="Calibri" w:eastAsia="MS Mincho" w:hAnsi="Calibri" w:cs="Times New Roman"/>
          <w:noProof/>
          <w:color w:val="000000"/>
          <w:sz w:val="22"/>
          <w:szCs w:val="22"/>
          <w:lang w:val="en-US" w:eastAsia="en-GB"/>
        </w:rPr>
        <w:t xml:space="preserve">llostatic </w:t>
      </w:r>
      <w:r>
        <w:rPr>
          <w:rFonts w:ascii="Calibri" w:eastAsia="MS Mincho" w:hAnsi="Calibri" w:cs="Times New Roman"/>
          <w:noProof/>
          <w:color w:val="000000"/>
          <w:sz w:val="22"/>
          <w:szCs w:val="22"/>
          <w:lang w:val="en-US" w:eastAsia="en-GB"/>
        </w:rPr>
        <w:t>l</w:t>
      </w:r>
      <w:r w:rsidRPr="00543C90">
        <w:rPr>
          <w:rFonts w:ascii="Calibri" w:eastAsia="MS Mincho" w:hAnsi="Calibri" w:cs="Times New Roman"/>
          <w:noProof/>
          <w:color w:val="000000"/>
          <w:sz w:val="22"/>
          <w:szCs w:val="22"/>
          <w:lang w:val="en-US" w:eastAsia="en-GB"/>
        </w:rPr>
        <w:t>oad ndex composite measure cut-offs. An elevated level of each measure carries more risk, except in case of HDL cholesterol. LDL, Low-density lipoprotein; HDL, High-density lipoprotein; CRP, C-reactive protein; IL-6, Interleukine-6.</w:t>
      </w:r>
    </w:p>
    <w:p w:rsidR="005359D8" w:rsidRDefault="005359D8" w:rsidP="00CC1A1A">
      <w:pPr>
        <w:spacing w:before="120" w:line="276" w:lineRule="auto"/>
        <w:ind w:right="446"/>
        <w:rPr>
          <w:rFonts w:ascii="Calibri" w:eastAsia="MS Mincho" w:hAnsi="Calibri" w:cs="Times New Roman"/>
          <w:noProof/>
          <w:color w:val="000000"/>
          <w:sz w:val="22"/>
          <w:szCs w:val="22"/>
          <w:lang w:val="en-US" w:eastAsia="en-GB"/>
        </w:rPr>
      </w:pPr>
    </w:p>
    <w:p w:rsidR="005359D8" w:rsidRPr="00543C90" w:rsidRDefault="005359D8" w:rsidP="00CC1A1A">
      <w:pPr>
        <w:spacing w:before="120" w:line="276" w:lineRule="auto"/>
        <w:ind w:right="446"/>
        <w:rPr>
          <w:rFonts w:ascii="Calibri" w:eastAsia="MS Mincho" w:hAnsi="Calibri" w:cs="Times New Roman"/>
          <w:noProof/>
          <w:color w:val="000000"/>
          <w:sz w:val="22"/>
          <w:szCs w:val="22"/>
          <w:lang w:val="en-US" w:eastAsia="en-GB"/>
        </w:rPr>
      </w:pPr>
    </w:p>
    <w:p w:rsidR="005359D8" w:rsidRDefault="005359D8">
      <w:pPr>
        <w:rPr>
          <w:lang w:val="en-US"/>
        </w:rPr>
      </w:pPr>
      <w:r>
        <w:rPr>
          <w:lang w:val="en-US"/>
        </w:rPr>
        <w:br w:type="page"/>
      </w:r>
    </w:p>
    <w:p w:rsidR="005359D8" w:rsidRDefault="005359D8" w:rsidP="00CC1A1A">
      <w:pPr>
        <w:rPr>
          <w:lang w:val="en-US"/>
        </w:rPr>
      </w:pPr>
      <w:r>
        <w:rPr>
          <w:lang w:val="en-US"/>
        </w:rPr>
        <w:lastRenderedPageBreak/>
        <w:t xml:space="preserve">Supplementary Table S2. </w:t>
      </w:r>
      <w:r w:rsidRPr="00153C14">
        <w:rPr>
          <w:lang w:val="en-US"/>
        </w:rPr>
        <w:t xml:space="preserve">Average (SD) Framingham </w:t>
      </w:r>
      <w:r>
        <w:rPr>
          <w:lang w:val="en-US"/>
        </w:rPr>
        <w:t>s</w:t>
      </w:r>
      <w:r w:rsidRPr="00153C14">
        <w:rPr>
          <w:lang w:val="en-US"/>
        </w:rPr>
        <w:t xml:space="preserve">troke </w:t>
      </w:r>
      <w:r>
        <w:rPr>
          <w:lang w:val="en-US"/>
        </w:rPr>
        <w:t>r</w:t>
      </w:r>
      <w:r w:rsidRPr="00153C14">
        <w:rPr>
          <w:lang w:val="en-US"/>
        </w:rPr>
        <w:t xml:space="preserve">isk and </w:t>
      </w:r>
      <w:r>
        <w:rPr>
          <w:lang w:val="en-US"/>
        </w:rPr>
        <w:t>a</w:t>
      </w:r>
      <w:r w:rsidRPr="00153C14">
        <w:rPr>
          <w:lang w:val="en-US"/>
        </w:rPr>
        <w:t xml:space="preserve">llostatic </w:t>
      </w:r>
      <w:r>
        <w:rPr>
          <w:lang w:val="en-US"/>
        </w:rPr>
        <w:t>l</w:t>
      </w:r>
      <w:r w:rsidRPr="00153C14">
        <w:rPr>
          <w:lang w:val="en-US"/>
        </w:rPr>
        <w:t xml:space="preserve">oad indices at Phase 3 and </w:t>
      </w:r>
      <w:r>
        <w:rPr>
          <w:lang w:val="en-US"/>
        </w:rPr>
        <w:t xml:space="preserve">Phase </w:t>
      </w:r>
      <w:r w:rsidRPr="00153C14">
        <w:rPr>
          <w:lang w:val="en-US"/>
        </w:rPr>
        <w:t xml:space="preserve">7, as well as binary frequency [%, yes] and 95% exact binomial confidence intervals (CI) of </w:t>
      </w:r>
      <w:r>
        <w:rPr>
          <w:lang w:val="en-US"/>
        </w:rPr>
        <w:t>m</w:t>
      </w:r>
      <w:r w:rsidRPr="00153C14">
        <w:rPr>
          <w:lang w:val="en-US"/>
        </w:rPr>
        <w:t xml:space="preserve">etabolic </w:t>
      </w:r>
      <w:r>
        <w:rPr>
          <w:lang w:val="en-US"/>
        </w:rPr>
        <w:t>s</w:t>
      </w:r>
      <w:r w:rsidRPr="00153C14">
        <w:rPr>
          <w:lang w:val="en-US"/>
        </w:rPr>
        <w:t xml:space="preserve">yndrome not directly used for analysis. Total scores across both phases used in voxelwise </w:t>
      </w:r>
      <w:r>
        <w:rPr>
          <w:lang w:val="en-US"/>
        </w:rPr>
        <w:t>grey matter analysis are in Table 1</w:t>
      </w:r>
      <w:r w:rsidRPr="00153C14">
        <w:rPr>
          <w:lang w:val="en-US"/>
        </w:rPr>
        <w:t>.</w:t>
      </w:r>
    </w:p>
    <w:p w:rsidR="005359D8" w:rsidRDefault="005359D8" w:rsidP="00CC1A1A">
      <w:pPr>
        <w:rPr>
          <w:lang w:val="en-US"/>
        </w:rPr>
      </w:pPr>
    </w:p>
    <w:tbl>
      <w:tblPr>
        <w:tblStyle w:val="ListTable2-Accent11"/>
        <w:tblW w:w="7753" w:type="dxa"/>
        <w:tblBorders>
          <w:top w:val="none" w:sz="0" w:space="0" w:color="auto"/>
          <w:bottom w:val="none" w:sz="0" w:space="0" w:color="auto"/>
          <w:insideH w:val="none" w:sz="0" w:space="0" w:color="auto"/>
        </w:tblBorders>
        <w:tblLayout w:type="fixed"/>
        <w:tblLook w:val="06A0" w:firstRow="1" w:lastRow="0" w:firstColumn="1" w:lastColumn="0" w:noHBand="1" w:noVBand="1"/>
      </w:tblPr>
      <w:tblGrid>
        <w:gridCol w:w="3703"/>
        <w:gridCol w:w="2160"/>
        <w:gridCol w:w="1890"/>
      </w:tblGrid>
      <w:tr w:rsidR="005359D8" w:rsidRPr="00153C14" w:rsidTr="005F171C">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703" w:type="dxa"/>
            <w:tcBorders>
              <w:bottom w:val="single" w:sz="4" w:space="0" w:color="auto"/>
            </w:tcBorders>
            <w:noWrap/>
            <w:vAlign w:val="center"/>
            <w:hideMark/>
          </w:tcPr>
          <w:p w:rsidR="005359D8" w:rsidRPr="00153C14" w:rsidRDefault="005359D8" w:rsidP="005F171C">
            <w:pPr>
              <w:rPr>
                <w:rFonts w:ascii="Calibri" w:eastAsia="Times New Roman" w:hAnsi="Calibri" w:cs="Times New Roman"/>
                <w:color w:val="000000"/>
                <w:sz w:val="22"/>
                <w:szCs w:val="22"/>
                <w:lang w:eastAsia="en-GB"/>
              </w:rPr>
            </w:pPr>
          </w:p>
        </w:tc>
        <w:tc>
          <w:tcPr>
            <w:tcW w:w="2160" w:type="dxa"/>
            <w:tcBorders>
              <w:bottom w:val="single" w:sz="4" w:space="0" w:color="auto"/>
            </w:tcBorders>
            <w:vAlign w:val="center"/>
            <w:hideMark/>
          </w:tcPr>
          <w:p w:rsidR="005359D8" w:rsidRPr="00153C14" w:rsidRDefault="005359D8" w:rsidP="005F171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153C14">
              <w:rPr>
                <w:rFonts w:ascii="Calibri" w:eastAsia="Times New Roman" w:hAnsi="Calibri" w:cs="Times New Roman"/>
                <w:color w:val="000000"/>
                <w:sz w:val="22"/>
                <w:szCs w:val="22"/>
                <w:lang w:eastAsia="en-GB"/>
              </w:rPr>
              <w:t>Phase 3</w:t>
            </w:r>
            <w:r w:rsidRPr="00153C14">
              <w:rPr>
                <w:rFonts w:ascii="Calibri" w:eastAsia="Times New Roman" w:hAnsi="Calibri" w:cs="Times New Roman"/>
                <w:color w:val="000000"/>
                <w:sz w:val="22"/>
                <w:szCs w:val="22"/>
                <w:lang w:eastAsia="en-GB"/>
              </w:rPr>
              <w:br/>
              <w:t>1991-1993</w:t>
            </w:r>
          </w:p>
        </w:tc>
        <w:tc>
          <w:tcPr>
            <w:tcW w:w="1890" w:type="dxa"/>
            <w:tcBorders>
              <w:bottom w:val="single" w:sz="4" w:space="0" w:color="auto"/>
            </w:tcBorders>
            <w:vAlign w:val="center"/>
            <w:hideMark/>
          </w:tcPr>
          <w:p w:rsidR="005359D8" w:rsidRPr="00153C14" w:rsidRDefault="005359D8" w:rsidP="005F171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153C14">
              <w:rPr>
                <w:rFonts w:ascii="Calibri" w:eastAsia="Times New Roman" w:hAnsi="Calibri" w:cs="Times New Roman"/>
                <w:color w:val="000000"/>
                <w:sz w:val="22"/>
                <w:szCs w:val="22"/>
                <w:lang w:eastAsia="en-GB"/>
              </w:rPr>
              <w:t>Phase 7</w:t>
            </w:r>
            <w:r w:rsidRPr="00153C14">
              <w:rPr>
                <w:rFonts w:ascii="Calibri" w:eastAsia="Times New Roman" w:hAnsi="Calibri" w:cs="Times New Roman"/>
                <w:color w:val="000000"/>
                <w:sz w:val="22"/>
                <w:szCs w:val="22"/>
                <w:lang w:eastAsia="en-GB"/>
              </w:rPr>
              <w:br/>
              <w:t>2003-2004</w:t>
            </w:r>
          </w:p>
        </w:tc>
      </w:tr>
      <w:tr w:rsidR="005359D8" w:rsidRPr="00153C14" w:rsidTr="005F171C">
        <w:trPr>
          <w:trHeight w:val="511"/>
        </w:trPr>
        <w:tc>
          <w:tcPr>
            <w:cnfStyle w:val="001000000000" w:firstRow="0" w:lastRow="0" w:firstColumn="1" w:lastColumn="0" w:oddVBand="0" w:evenVBand="0" w:oddHBand="0" w:evenHBand="0" w:firstRowFirstColumn="0" w:firstRowLastColumn="0" w:lastRowFirstColumn="0" w:lastRowLastColumn="0"/>
            <w:tcW w:w="3703" w:type="dxa"/>
            <w:tcBorders>
              <w:top w:val="single" w:sz="4" w:space="0" w:color="auto"/>
            </w:tcBorders>
            <w:noWrap/>
            <w:vAlign w:val="center"/>
            <w:hideMark/>
          </w:tcPr>
          <w:p w:rsidR="005359D8" w:rsidRPr="00153C14" w:rsidRDefault="005359D8" w:rsidP="005F171C">
            <w:pPr>
              <w:rPr>
                <w:rFonts w:ascii="Calibri" w:eastAsia="Times New Roman" w:hAnsi="Calibri" w:cs="Times New Roman"/>
                <w:color w:val="000000"/>
                <w:sz w:val="22"/>
                <w:szCs w:val="22"/>
                <w:lang w:eastAsia="en-GB"/>
              </w:rPr>
            </w:pPr>
            <w:r w:rsidRPr="00153C14">
              <w:rPr>
                <w:rFonts w:ascii="Calibri" w:eastAsia="Times New Roman" w:hAnsi="Calibri" w:cs="Times New Roman"/>
                <w:color w:val="000000"/>
                <w:sz w:val="22"/>
                <w:szCs w:val="22"/>
                <w:lang w:eastAsia="en-GB"/>
              </w:rPr>
              <w:t xml:space="preserve">Age [years] – </w:t>
            </w:r>
            <w:r w:rsidRPr="00153C14">
              <w:rPr>
                <w:rFonts w:ascii="Calibri" w:eastAsia="Times New Roman" w:hAnsi="Calibri" w:cs="Times New Roman"/>
                <w:i/>
                <w:color w:val="000000"/>
                <w:sz w:val="22"/>
                <w:szCs w:val="22"/>
                <w:lang w:eastAsia="en-GB"/>
              </w:rPr>
              <w:t>Mean (SD)</w:t>
            </w:r>
          </w:p>
        </w:tc>
        <w:tc>
          <w:tcPr>
            <w:tcW w:w="2160" w:type="dxa"/>
            <w:tcBorders>
              <w:top w:val="single" w:sz="4" w:space="0" w:color="auto"/>
            </w:tcBorders>
            <w:vAlign w:val="center"/>
            <w:hideMark/>
          </w:tcPr>
          <w:p w:rsidR="005359D8" w:rsidRPr="00153C14"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153C14">
              <w:rPr>
                <w:rFonts w:ascii="Calibri" w:eastAsia="Times New Roman" w:hAnsi="Calibri" w:cs="Times New Roman"/>
                <w:color w:val="000000"/>
                <w:sz w:val="22"/>
                <w:szCs w:val="22"/>
                <w:lang w:eastAsia="en-GB"/>
              </w:rPr>
              <w:t>48.2 (5.2)</w:t>
            </w:r>
          </w:p>
        </w:tc>
        <w:tc>
          <w:tcPr>
            <w:tcW w:w="1890" w:type="dxa"/>
            <w:tcBorders>
              <w:top w:val="single" w:sz="4" w:space="0" w:color="auto"/>
            </w:tcBorders>
            <w:vAlign w:val="center"/>
            <w:hideMark/>
          </w:tcPr>
          <w:p w:rsidR="005359D8" w:rsidRPr="00153C14"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153C14">
              <w:rPr>
                <w:rFonts w:ascii="Calibri" w:eastAsia="Times New Roman" w:hAnsi="Calibri" w:cs="Times New Roman"/>
                <w:color w:val="000000"/>
                <w:sz w:val="22"/>
                <w:szCs w:val="22"/>
                <w:lang w:eastAsia="en-GB"/>
              </w:rPr>
              <w:t>59.4 (5.2)</w:t>
            </w:r>
          </w:p>
        </w:tc>
      </w:tr>
      <w:tr w:rsidR="005359D8" w:rsidRPr="00153C14" w:rsidTr="005F171C">
        <w:trPr>
          <w:trHeight w:val="758"/>
        </w:trPr>
        <w:tc>
          <w:tcPr>
            <w:cnfStyle w:val="001000000000" w:firstRow="0" w:lastRow="0" w:firstColumn="1" w:lastColumn="0" w:oddVBand="0" w:evenVBand="0" w:oddHBand="0" w:evenHBand="0" w:firstRowFirstColumn="0" w:firstRowLastColumn="0" w:lastRowFirstColumn="0" w:lastRowLastColumn="0"/>
            <w:tcW w:w="3703" w:type="dxa"/>
            <w:noWrap/>
            <w:vAlign w:val="center"/>
          </w:tcPr>
          <w:p w:rsidR="005359D8" w:rsidRPr="00153C14" w:rsidRDefault="005359D8" w:rsidP="005F171C">
            <w:pPr>
              <w:rPr>
                <w:rFonts w:ascii="Calibri" w:eastAsia="Times New Roman" w:hAnsi="Calibri" w:cs="Times New Roman"/>
                <w:color w:val="000000"/>
                <w:sz w:val="22"/>
                <w:szCs w:val="22"/>
                <w:lang w:eastAsia="en-GB"/>
              </w:rPr>
            </w:pPr>
            <w:r w:rsidRPr="00153C14">
              <w:rPr>
                <w:rFonts w:ascii="Calibri" w:eastAsia="Times New Roman" w:hAnsi="Calibri" w:cs="Times New Roman"/>
                <w:color w:val="000000"/>
                <w:sz w:val="22"/>
                <w:szCs w:val="22"/>
                <w:lang w:eastAsia="en-GB"/>
              </w:rPr>
              <w:t xml:space="preserve">Framingham 10-year Stroke Risk [%] - </w:t>
            </w:r>
            <w:r w:rsidRPr="00153C14">
              <w:rPr>
                <w:rFonts w:ascii="Calibri" w:eastAsia="Times New Roman" w:hAnsi="Calibri" w:cs="Times New Roman"/>
                <w:i/>
                <w:color w:val="000000"/>
                <w:sz w:val="22"/>
                <w:szCs w:val="22"/>
                <w:lang w:eastAsia="en-GB"/>
              </w:rPr>
              <w:t>Mean (SD)</w:t>
            </w:r>
          </w:p>
        </w:tc>
        <w:tc>
          <w:tcPr>
            <w:tcW w:w="2160" w:type="dxa"/>
            <w:noWrap/>
            <w:vAlign w:val="center"/>
          </w:tcPr>
          <w:p w:rsidR="005359D8" w:rsidRPr="00153C14"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153C14">
              <w:rPr>
                <w:rFonts w:ascii="Calibri" w:eastAsia="Times New Roman" w:hAnsi="Calibri" w:cs="Times New Roman"/>
                <w:color w:val="000000"/>
                <w:sz w:val="22"/>
                <w:szCs w:val="22"/>
                <w:lang w:eastAsia="en-GB"/>
              </w:rPr>
              <w:t>3.3 (1.4)</w:t>
            </w:r>
          </w:p>
        </w:tc>
        <w:tc>
          <w:tcPr>
            <w:tcW w:w="1890" w:type="dxa"/>
            <w:noWrap/>
            <w:vAlign w:val="center"/>
          </w:tcPr>
          <w:p w:rsidR="005359D8" w:rsidRPr="00153C14"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153C14">
              <w:rPr>
                <w:rFonts w:ascii="Calibri" w:eastAsia="Times New Roman" w:hAnsi="Calibri" w:cs="Times New Roman"/>
                <w:color w:val="000000"/>
                <w:sz w:val="22"/>
                <w:szCs w:val="22"/>
                <w:lang w:eastAsia="en-GB"/>
              </w:rPr>
              <w:t>5.2 (3.7)</w:t>
            </w:r>
          </w:p>
        </w:tc>
      </w:tr>
      <w:tr w:rsidR="005359D8" w:rsidRPr="00153C14" w:rsidTr="005F171C">
        <w:trPr>
          <w:trHeight w:val="803"/>
        </w:trPr>
        <w:tc>
          <w:tcPr>
            <w:cnfStyle w:val="001000000000" w:firstRow="0" w:lastRow="0" w:firstColumn="1" w:lastColumn="0" w:oddVBand="0" w:evenVBand="0" w:oddHBand="0" w:evenHBand="0" w:firstRowFirstColumn="0" w:firstRowLastColumn="0" w:lastRowFirstColumn="0" w:lastRowLastColumn="0"/>
            <w:tcW w:w="3703" w:type="dxa"/>
            <w:noWrap/>
            <w:vAlign w:val="center"/>
          </w:tcPr>
          <w:p w:rsidR="005359D8" w:rsidRPr="00153C14" w:rsidRDefault="005359D8" w:rsidP="005F171C">
            <w:pPr>
              <w:rPr>
                <w:rFonts w:ascii="Calibri" w:eastAsia="Times New Roman" w:hAnsi="Calibri" w:cs="Times New Roman"/>
                <w:i/>
                <w:color w:val="000000"/>
                <w:sz w:val="22"/>
                <w:szCs w:val="22"/>
                <w:lang w:eastAsia="en-GB"/>
              </w:rPr>
            </w:pPr>
            <w:r w:rsidRPr="00153C14">
              <w:rPr>
                <w:rFonts w:ascii="Calibri" w:eastAsia="Times New Roman" w:hAnsi="Calibri" w:cs="Times New Roman"/>
                <w:color w:val="000000"/>
                <w:sz w:val="22"/>
                <w:szCs w:val="22"/>
                <w:lang w:eastAsia="en-GB"/>
              </w:rPr>
              <w:t xml:space="preserve">Metabolic Syndrome </w:t>
            </w:r>
            <w:r w:rsidRPr="00153C14">
              <w:rPr>
                <w:rFonts w:ascii="Calibri" w:eastAsia="Times New Roman" w:hAnsi="Calibri" w:cs="Times New Roman"/>
                <w:i/>
                <w:color w:val="000000"/>
                <w:sz w:val="22"/>
                <w:szCs w:val="22"/>
                <w:lang w:eastAsia="en-GB"/>
              </w:rPr>
              <w:t>– % yes (95% CI)</w:t>
            </w:r>
          </w:p>
        </w:tc>
        <w:tc>
          <w:tcPr>
            <w:tcW w:w="2160" w:type="dxa"/>
            <w:noWrap/>
            <w:vAlign w:val="center"/>
          </w:tcPr>
          <w:p w:rsidR="005359D8" w:rsidRPr="00153C14"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153C14">
              <w:rPr>
                <w:rFonts w:ascii="Calibri" w:eastAsia="Times New Roman" w:hAnsi="Calibri" w:cs="Times New Roman"/>
                <w:color w:val="000000"/>
                <w:sz w:val="22"/>
                <w:szCs w:val="22"/>
                <w:lang w:eastAsia="en-GB"/>
              </w:rPr>
              <w:t>8.0 (5.4 – 11.3)</w:t>
            </w:r>
          </w:p>
        </w:tc>
        <w:tc>
          <w:tcPr>
            <w:tcW w:w="1890" w:type="dxa"/>
            <w:noWrap/>
            <w:vAlign w:val="center"/>
          </w:tcPr>
          <w:p w:rsidR="005359D8" w:rsidRPr="00153C14"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153C14">
              <w:rPr>
                <w:rFonts w:ascii="Calibri" w:eastAsia="Times New Roman" w:hAnsi="Calibri" w:cs="Times New Roman"/>
                <w:color w:val="000000"/>
                <w:sz w:val="22"/>
                <w:szCs w:val="22"/>
                <w:lang w:eastAsia="en-GB"/>
              </w:rPr>
              <w:t>10.9 (7.8 – 14.6)</w:t>
            </w:r>
          </w:p>
        </w:tc>
      </w:tr>
      <w:tr w:rsidR="005359D8" w:rsidRPr="00153C14" w:rsidTr="005F171C">
        <w:trPr>
          <w:trHeight w:val="688"/>
        </w:trPr>
        <w:tc>
          <w:tcPr>
            <w:cnfStyle w:val="001000000000" w:firstRow="0" w:lastRow="0" w:firstColumn="1" w:lastColumn="0" w:oddVBand="0" w:evenVBand="0" w:oddHBand="0" w:evenHBand="0" w:firstRowFirstColumn="0" w:firstRowLastColumn="0" w:lastRowFirstColumn="0" w:lastRowLastColumn="0"/>
            <w:tcW w:w="3703" w:type="dxa"/>
            <w:noWrap/>
            <w:vAlign w:val="center"/>
            <w:hideMark/>
          </w:tcPr>
          <w:p w:rsidR="005359D8" w:rsidRPr="00153C14" w:rsidRDefault="005359D8" w:rsidP="005F171C">
            <w:pPr>
              <w:rPr>
                <w:rFonts w:ascii="Calibri" w:eastAsia="Times New Roman" w:hAnsi="Calibri" w:cs="Times New Roman"/>
                <w:i/>
                <w:color w:val="000000"/>
                <w:sz w:val="22"/>
                <w:szCs w:val="22"/>
                <w:lang w:eastAsia="en-GB"/>
              </w:rPr>
            </w:pPr>
            <w:r w:rsidRPr="00153C14">
              <w:rPr>
                <w:rFonts w:ascii="Calibri" w:eastAsia="Times New Roman" w:hAnsi="Calibri" w:cs="Times New Roman"/>
                <w:color w:val="000000"/>
                <w:sz w:val="22"/>
                <w:szCs w:val="22"/>
                <w:lang w:eastAsia="en-GB"/>
              </w:rPr>
              <w:t>Allostatic Load</w:t>
            </w:r>
            <w:r w:rsidRPr="00153C14">
              <w:rPr>
                <w:rFonts w:ascii="Calibri" w:eastAsia="Times New Roman" w:hAnsi="Calibri" w:cs="Times New Roman"/>
                <w:i/>
                <w:color w:val="000000"/>
                <w:sz w:val="22"/>
                <w:szCs w:val="22"/>
                <w:lang w:eastAsia="en-GB"/>
              </w:rPr>
              <w:t xml:space="preserve"> - Mean (SD)</w:t>
            </w:r>
          </w:p>
        </w:tc>
        <w:tc>
          <w:tcPr>
            <w:tcW w:w="2160" w:type="dxa"/>
            <w:noWrap/>
            <w:vAlign w:val="center"/>
            <w:hideMark/>
          </w:tcPr>
          <w:p w:rsidR="005359D8" w:rsidRPr="00153C14"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153C14">
              <w:rPr>
                <w:rFonts w:ascii="Calibri" w:eastAsia="Times New Roman" w:hAnsi="Calibri" w:cs="Times New Roman"/>
                <w:color w:val="000000"/>
                <w:sz w:val="22"/>
                <w:szCs w:val="22"/>
                <w:lang w:eastAsia="en-GB"/>
              </w:rPr>
              <w:t>2.7 (1.7)</w:t>
            </w:r>
          </w:p>
        </w:tc>
        <w:tc>
          <w:tcPr>
            <w:tcW w:w="1890" w:type="dxa"/>
            <w:noWrap/>
            <w:vAlign w:val="center"/>
            <w:hideMark/>
          </w:tcPr>
          <w:p w:rsidR="005359D8" w:rsidRPr="00153C14" w:rsidRDefault="005359D8" w:rsidP="005F17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eastAsia="en-GB"/>
              </w:rPr>
            </w:pPr>
            <w:r w:rsidRPr="00153C14">
              <w:rPr>
                <w:rFonts w:ascii="Calibri" w:eastAsia="Times New Roman" w:hAnsi="Calibri" w:cs="Times New Roman"/>
                <w:color w:val="000000"/>
                <w:sz w:val="22"/>
                <w:szCs w:val="22"/>
                <w:lang w:eastAsia="en-GB"/>
              </w:rPr>
              <w:t>3.0 (1.8)</w:t>
            </w:r>
          </w:p>
        </w:tc>
      </w:tr>
    </w:tbl>
    <w:p w:rsidR="005359D8" w:rsidRDefault="005359D8" w:rsidP="00CC1A1A">
      <w:pPr>
        <w:rPr>
          <w:lang w:val="en-US"/>
        </w:rPr>
      </w:pPr>
    </w:p>
    <w:p w:rsidR="005359D8" w:rsidRDefault="005359D8" w:rsidP="00CC1A1A">
      <w:pPr>
        <w:rPr>
          <w:lang w:val="en-US"/>
        </w:rPr>
        <w:sectPr w:rsidR="005359D8" w:rsidSect="00D33A7E">
          <w:footerReference w:type="default" r:id="rId5"/>
          <w:pgSz w:w="11900" w:h="16840"/>
          <w:pgMar w:top="1440" w:right="1440" w:bottom="1440" w:left="1440" w:header="708" w:footer="708" w:gutter="0"/>
          <w:cols w:space="708"/>
          <w:docGrid w:linePitch="360"/>
        </w:sectPr>
      </w:pPr>
    </w:p>
    <w:p w:rsidR="005359D8" w:rsidRPr="00A4341C" w:rsidRDefault="005359D8" w:rsidP="00CC1A1A">
      <w:pPr>
        <w:rPr>
          <w:rFonts w:ascii="Calibri" w:eastAsia="MS Mincho" w:hAnsi="Calibri" w:cs="Times New Roman"/>
          <w:color w:val="000000"/>
          <w:lang w:val="en-US" w:eastAsia="en-GB"/>
        </w:rPr>
      </w:pPr>
      <w:r w:rsidRPr="00A4341C">
        <w:lastRenderedPageBreak/>
        <w:t xml:space="preserve">Supplementary Table </w:t>
      </w:r>
      <w:r>
        <w:t>S</w:t>
      </w:r>
      <w:r w:rsidRPr="00A4341C">
        <w:t>3</w:t>
      </w:r>
      <w:r w:rsidRPr="00A4341C">
        <w:rPr>
          <w:rFonts w:ascii="Calibri" w:eastAsia="MS Mincho" w:hAnsi="Calibri" w:cs="Times New Roman"/>
          <w:b/>
          <w:color w:val="000000"/>
          <w:lang w:val="en-US" w:eastAsia="en-GB"/>
        </w:rPr>
        <w:t xml:space="preserve">. </w:t>
      </w:r>
      <w:r w:rsidRPr="00A4341C">
        <w:rPr>
          <w:rFonts w:ascii="Calibri" w:eastAsia="MS Mincho" w:hAnsi="Calibri" w:cs="Times New Roman"/>
          <w:color w:val="000000"/>
          <w:lang w:val="en-US" w:eastAsia="en-GB"/>
        </w:rPr>
        <w:t xml:space="preserve">Significant clusters of voxelwise </w:t>
      </w:r>
      <w:r>
        <w:rPr>
          <w:rFonts w:ascii="Calibri" w:eastAsia="MS Mincho" w:hAnsi="Calibri" w:cs="Times New Roman"/>
          <w:color w:val="000000"/>
          <w:lang w:val="en-US" w:eastAsia="en-GB"/>
        </w:rPr>
        <w:t>grey matter</w:t>
      </w:r>
      <w:r w:rsidRPr="00A4341C">
        <w:rPr>
          <w:rFonts w:ascii="Calibri" w:eastAsia="MS Mincho" w:hAnsi="Calibri" w:cs="Times New Roman"/>
          <w:color w:val="000000"/>
          <w:lang w:val="en-US" w:eastAsia="en-GB"/>
        </w:rPr>
        <w:t xml:space="preserve"> and </w:t>
      </w:r>
      <w:r>
        <w:rPr>
          <w:rFonts w:ascii="Calibri" w:eastAsia="MS Mincho" w:hAnsi="Calibri" w:cs="Times New Roman"/>
          <w:color w:val="000000"/>
          <w:lang w:val="en-US" w:eastAsia="en-GB"/>
        </w:rPr>
        <w:t>fractional anisotropy (FA)</w:t>
      </w:r>
      <w:r w:rsidRPr="00A4341C">
        <w:rPr>
          <w:rFonts w:ascii="Calibri" w:eastAsia="MS Mincho" w:hAnsi="Calibri" w:cs="Times New Roman"/>
          <w:color w:val="000000"/>
          <w:lang w:val="en-US" w:eastAsia="en-GB"/>
        </w:rPr>
        <w:t xml:space="preserve"> negatively associated with each marker. Significant clusters of voxelwise </w:t>
      </w:r>
      <w:r>
        <w:rPr>
          <w:rFonts w:ascii="Calibri" w:eastAsia="MS Mincho" w:hAnsi="Calibri" w:cs="Times New Roman"/>
          <w:color w:val="000000"/>
          <w:lang w:val="en-US" w:eastAsia="en-GB"/>
        </w:rPr>
        <w:t>mean diffusivity (</w:t>
      </w:r>
      <w:r w:rsidRPr="00A4341C">
        <w:rPr>
          <w:rFonts w:ascii="Calibri" w:eastAsia="MS Mincho" w:hAnsi="Calibri" w:cs="Times New Roman"/>
          <w:color w:val="000000"/>
          <w:lang w:val="en-US" w:eastAsia="en-GB"/>
        </w:rPr>
        <w:t>MD</w:t>
      </w:r>
      <w:r>
        <w:rPr>
          <w:rFonts w:ascii="Calibri" w:eastAsia="MS Mincho" w:hAnsi="Calibri" w:cs="Times New Roman"/>
          <w:color w:val="000000"/>
          <w:lang w:val="en-US" w:eastAsia="en-GB"/>
        </w:rPr>
        <w:t>)</w:t>
      </w:r>
      <w:r w:rsidRPr="00A4341C">
        <w:rPr>
          <w:rFonts w:ascii="Calibri" w:eastAsia="MS Mincho" w:hAnsi="Calibri" w:cs="Times New Roman"/>
          <w:color w:val="000000"/>
          <w:lang w:val="en-US" w:eastAsia="en-GB"/>
        </w:rPr>
        <w:t xml:space="preserve"> positively associated with</w:t>
      </w:r>
      <w:r>
        <w:rPr>
          <w:rFonts w:ascii="Calibri" w:eastAsia="MS Mincho" w:hAnsi="Calibri" w:cs="Times New Roman"/>
          <w:color w:val="000000"/>
          <w:lang w:val="en-US" w:eastAsia="en-GB"/>
        </w:rPr>
        <w:t xml:space="preserve"> Framingham stroke risk</w:t>
      </w:r>
      <w:r w:rsidRPr="00A4341C">
        <w:rPr>
          <w:rFonts w:ascii="Calibri" w:eastAsia="MS Mincho" w:hAnsi="Calibri" w:cs="Times New Roman"/>
          <w:color w:val="000000"/>
          <w:lang w:val="en-US" w:eastAsia="en-GB"/>
        </w:rPr>
        <w:t>.</w:t>
      </w:r>
    </w:p>
    <w:p w:rsidR="005359D8" w:rsidRDefault="005359D8" w:rsidP="00CC1A1A">
      <w:r>
        <w:t xml:space="preserve"> </w:t>
      </w:r>
    </w:p>
    <w:tbl>
      <w:tblPr>
        <w:tblW w:w="12735" w:type="dxa"/>
        <w:tblInd w:w="93" w:type="dxa"/>
        <w:tblLayout w:type="fixed"/>
        <w:tblLook w:val="04A0" w:firstRow="1" w:lastRow="0" w:firstColumn="1" w:lastColumn="0" w:noHBand="0" w:noVBand="1"/>
      </w:tblPr>
      <w:tblGrid>
        <w:gridCol w:w="1413"/>
        <w:gridCol w:w="1624"/>
        <w:gridCol w:w="1124"/>
        <w:gridCol w:w="1413"/>
        <w:gridCol w:w="1413"/>
        <w:gridCol w:w="672"/>
        <w:gridCol w:w="672"/>
        <w:gridCol w:w="672"/>
        <w:gridCol w:w="8"/>
        <w:gridCol w:w="3716"/>
        <w:gridCol w:w="8"/>
      </w:tblGrid>
      <w:tr w:rsidR="005359D8" w:rsidRPr="00A4341C" w:rsidTr="004E34A9">
        <w:trPr>
          <w:trHeight w:val="611"/>
        </w:trPr>
        <w:tc>
          <w:tcPr>
            <w:tcW w:w="1413" w:type="dxa"/>
            <w:tcBorders>
              <w:top w:val="nil"/>
              <w:left w:val="nil"/>
              <w:bottom w:val="single" w:sz="4" w:space="0" w:color="auto"/>
              <w:right w:val="nil"/>
            </w:tcBorders>
            <w:shd w:val="clear" w:color="auto" w:fill="auto"/>
            <w:noWrap/>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624" w:type="dxa"/>
            <w:tcBorders>
              <w:top w:val="nil"/>
              <w:left w:val="nil"/>
              <w:bottom w:val="single" w:sz="4" w:space="0" w:color="auto"/>
              <w:right w:val="nil"/>
            </w:tcBorders>
            <w:shd w:val="clear" w:color="auto" w:fill="auto"/>
            <w:noWrap/>
            <w:vAlign w:val="center"/>
            <w:hideMark/>
          </w:tcPr>
          <w:p w:rsidR="005359D8" w:rsidRPr="00A4341C" w:rsidRDefault="005359D8" w:rsidP="005F171C">
            <w:pPr>
              <w:rPr>
                <w:rFonts w:ascii="Calibri" w:eastAsia="Times New Roman" w:hAnsi="Calibri" w:cs="Times New Roman"/>
                <w:b/>
                <w:bCs/>
                <w:color w:val="000000"/>
                <w:sz w:val="21"/>
                <w:szCs w:val="21"/>
                <w:lang w:val="en-US" w:eastAsia="en-GB"/>
              </w:rPr>
            </w:pPr>
          </w:p>
        </w:tc>
        <w:tc>
          <w:tcPr>
            <w:tcW w:w="1124" w:type="dxa"/>
            <w:tcBorders>
              <w:top w:val="nil"/>
              <w:left w:val="nil"/>
              <w:bottom w:val="single" w:sz="4" w:space="0" w:color="auto"/>
              <w:right w:val="nil"/>
            </w:tcBorders>
            <w:shd w:val="clear" w:color="auto" w:fill="auto"/>
            <w:vAlign w:val="center"/>
            <w:hideMark/>
          </w:tcPr>
          <w:p w:rsidR="005359D8" w:rsidRPr="00A4341C" w:rsidRDefault="005359D8" w:rsidP="005F171C">
            <w:pPr>
              <w:jc w:val="center"/>
              <w:rPr>
                <w:rFonts w:ascii="Calibri" w:eastAsia="Times New Roman" w:hAnsi="Calibri" w:cs="Times New Roman"/>
                <w:b/>
                <w:bCs/>
                <w:color w:val="000000"/>
                <w:sz w:val="21"/>
                <w:szCs w:val="21"/>
                <w:lang w:val="en-US" w:eastAsia="en-GB"/>
              </w:rPr>
            </w:pPr>
            <w:r w:rsidRPr="00A4341C">
              <w:rPr>
                <w:rFonts w:ascii="Calibri" w:eastAsia="Times New Roman" w:hAnsi="Calibri" w:cs="Times New Roman"/>
                <w:b/>
                <w:bCs/>
                <w:color w:val="000000"/>
                <w:sz w:val="21"/>
                <w:szCs w:val="21"/>
                <w:lang w:val="en-US" w:eastAsia="en-GB"/>
              </w:rPr>
              <w:t>No of voxels</w:t>
            </w:r>
          </w:p>
        </w:tc>
        <w:tc>
          <w:tcPr>
            <w:tcW w:w="1413" w:type="dxa"/>
            <w:tcBorders>
              <w:top w:val="nil"/>
              <w:left w:val="nil"/>
              <w:bottom w:val="single" w:sz="4" w:space="0" w:color="auto"/>
              <w:right w:val="nil"/>
            </w:tcBorders>
            <w:shd w:val="clear" w:color="auto" w:fill="auto"/>
            <w:vAlign w:val="center"/>
            <w:hideMark/>
          </w:tcPr>
          <w:p w:rsidR="005359D8" w:rsidRPr="00A4341C" w:rsidRDefault="005359D8" w:rsidP="005F171C">
            <w:pPr>
              <w:jc w:val="center"/>
              <w:rPr>
                <w:rFonts w:ascii="Calibri" w:eastAsia="Times New Roman" w:hAnsi="Calibri" w:cs="Times New Roman"/>
                <w:b/>
                <w:bCs/>
                <w:color w:val="000000"/>
                <w:sz w:val="21"/>
                <w:szCs w:val="21"/>
                <w:lang w:val="en-US" w:eastAsia="en-GB"/>
              </w:rPr>
            </w:pPr>
            <w:r w:rsidRPr="00A4341C">
              <w:rPr>
                <w:rFonts w:ascii="Calibri" w:eastAsia="Times New Roman" w:hAnsi="Calibri" w:cs="Times New Roman"/>
                <w:b/>
                <w:bCs/>
                <w:color w:val="000000"/>
                <w:sz w:val="21"/>
                <w:szCs w:val="21"/>
                <w:lang w:val="en-US" w:eastAsia="en-GB"/>
              </w:rPr>
              <w:t xml:space="preserve">Max t </w:t>
            </w:r>
          </w:p>
        </w:tc>
        <w:tc>
          <w:tcPr>
            <w:tcW w:w="1413" w:type="dxa"/>
            <w:tcBorders>
              <w:top w:val="nil"/>
              <w:left w:val="nil"/>
              <w:bottom w:val="single" w:sz="4" w:space="0" w:color="auto"/>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b/>
                <w:bCs/>
                <w:color w:val="000000"/>
                <w:sz w:val="21"/>
                <w:szCs w:val="21"/>
                <w:lang w:val="en-US" w:eastAsia="en-GB"/>
              </w:rPr>
            </w:pPr>
            <w:r w:rsidRPr="00A4341C">
              <w:rPr>
                <w:rFonts w:ascii="Calibri" w:eastAsia="Times New Roman" w:hAnsi="Calibri" w:cs="Times New Roman"/>
                <w:b/>
                <w:bCs/>
                <w:i/>
                <w:iCs/>
                <w:color w:val="000000"/>
                <w:sz w:val="21"/>
                <w:szCs w:val="21"/>
                <w:lang w:val="en-US" w:eastAsia="en-GB"/>
              </w:rPr>
              <w:t>p</w:t>
            </w:r>
            <w:r w:rsidRPr="00A4341C">
              <w:rPr>
                <w:rFonts w:ascii="Calibri" w:eastAsia="Times New Roman" w:hAnsi="Calibri" w:cs="Times New Roman"/>
                <w:b/>
                <w:bCs/>
                <w:color w:val="000000"/>
                <w:sz w:val="21"/>
                <w:szCs w:val="21"/>
                <w:lang w:val="en-US" w:eastAsia="en-GB"/>
              </w:rPr>
              <w:t>-value</w:t>
            </w:r>
          </w:p>
        </w:tc>
        <w:tc>
          <w:tcPr>
            <w:tcW w:w="2024" w:type="dxa"/>
            <w:gridSpan w:val="4"/>
            <w:tcBorders>
              <w:top w:val="nil"/>
              <w:left w:val="nil"/>
              <w:bottom w:val="single" w:sz="4" w:space="0" w:color="auto"/>
              <w:right w:val="nil"/>
            </w:tcBorders>
            <w:shd w:val="clear" w:color="auto" w:fill="auto"/>
            <w:vAlign w:val="center"/>
            <w:hideMark/>
          </w:tcPr>
          <w:p w:rsidR="005359D8" w:rsidRPr="00A4341C" w:rsidRDefault="005359D8" w:rsidP="005F171C">
            <w:pPr>
              <w:jc w:val="center"/>
              <w:rPr>
                <w:rFonts w:ascii="Calibri" w:eastAsia="Times New Roman" w:hAnsi="Calibri" w:cs="Times New Roman"/>
                <w:b/>
                <w:bCs/>
                <w:color w:val="000000"/>
                <w:sz w:val="21"/>
                <w:szCs w:val="21"/>
                <w:lang w:val="en-US" w:eastAsia="en-GB"/>
              </w:rPr>
            </w:pPr>
            <w:r w:rsidRPr="00A4341C">
              <w:rPr>
                <w:rFonts w:ascii="Calibri" w:eastAsia="Times New Roman" w:hAnsi="Calibri" w:cs="Times New Roman"/>
                <w:b/>
                <w:bCs/>
                <w:color w:val="000000"/>
                <w:sz w:val="21"/>
                <w:szCs w:val="21"/>
                <w:lang w:val="en-US" w:eastAsia="en-GB"/>
              </w:rPr>
              <w:t xml:space="preserve">MNI coordinates </w:t>
            </w:r>
            <w:r w:rsidRPr="00A4341C">
              <w:rPr>
                <w:rFonts w:ascii="Calibri" w:eastAsia="Times New Roman" w:hAnsi="Calibri" w:cs="Times New Roman"/>
                <w:b/>
                <w:bCs/>
                <w:color w:val="000000"/>
                <w:sz w:val="21"/>
                <w:szCs w:val="21"/>
                <w:lang w:val="en-US" w:eastAsia="en-GB"/>
              </w:rPr>
              <w:br/>
              <w:t>(x, y, z)</w:t>
            </w:r>
          </w:p>
        </w:tc>
        <w:tc>
          <w:tcPr>
            <w:tcW w:w="3724" w:type="dxa"/>
            <w:gridSpan w:val="2"/>
            <w:tcBorders>
              <w:top w:val="nil"/>
              <w:left w:val="nil"/>
              <w:bottom w:val="single" w:sz="4" w:space="0" w:color="auto"/>
              <w:right w:val="nil"/>
            </w:tcBorders>
            <w:shd w:val="clear" w:color="auto" w:fill="auto"/>
            <w:vAlign w:val="center"/>
            <w:hideMark/>
          </w:tcPr>
          <w:p w:rsidR="005359D8" w:rsidRPr="00A4341C" w:rsidRDefault="005359D8" w:rsidP="005F171C">
            <w:pPr>
              <w:jc w:val="right"/>
              <w:rPr>
                <w:rFonts w:ascii="Calibri" w:eastAsia="Times New Roman" w:hAnsi="Calibri" w:cs="Times New Roman"/>
                <w:b/>
                <w:bCs/>
                <w:color w:val="000000"/>
                <w:sz w:val="21"/>
                <w:szCs w:val="21"/>
                <w:lang w:val="en-US" w:eastAsia="en-GB"/>
              </w:rPr>
            </w:pPr>
            <w:r w:rsidRPr="00A4341C">
              <w:rPr>
                <w:rFonts w:ascii="Calibri" w:eastAsia="Times New Roman" w:hAnsi="Calibri" w:cs="Times New Roman"/>
                <w:b/>
                <w:bCs/>
                <w:color w:val="000000"/>
                <w:sz w:val="21"/>
                <w:szCs w:val="21"/>
                <w:lang w:val="en-US" w:eastAsia="en-GB"/>
              </w:rPr>
              <w:t>Structure</w:t>
            </w:r>
          </w:p>
        </w:tc>
      </w:tr>
      <w:tr w:rsidR="005359D8" w:rsidRPr="00A4341C" w:rsidTr="004E34A9">
        <w:trPr>
          <w:gridAfter w:val="1"/>
          <w:wAfter w:w="8" w:type="dxa"/>
          <w:trHeight w:val="734"/>
        </w:trPr>
        <w:tc>
          <w:tcPr>
            <w:tcW w:w="1413" w:type="dxa"/>
            <w:vMerge w:val="restart"/>
            <w:tcBorders>
              <w:top w:val="single" w:sz="4" w:space="0" w:color="auto"/>
              <w:left w:val="nil"/>
              <w:bottom w:val="nil"/>
              <w:right w:val="nil"/>
            </w:tcBorders>
            <w:shd w:val="clear" w:color="auto" w:fill="auto"/>
            <w:noWrap/>
            <w:textDirection w:val="btLr"/>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Pr>
                <w:rFonts w:ascii="Calibri" w:eastAsia="Times New Roman" w:hAnsi="Calibri" w:cs="Times New Roman"/>
                <w:color w:val="000000"/>
                <w:sz w:val="21"/>
                <w:szCs w:val="21"/>
                <w:lang w:val="en-US" w:eastAsia="en-GB"/>
              </w:rPr>
              <w:t>Grey</w:t>
            </w:r>
            <w:r w:rsidRPr="00A4341C">
              <w:rPr>
                <w:rFonts w:ascii="Calibri" w:eastAsia="Times New Roman" w:hAnsi="Calibri" w:cs="Times New Roman"/>
                <w:color w:val="000000"/>
                <w:sz w:val="21"/>
                <w:szCs w:val="21"/>
                <w:lang w:val="en-US" w:eastAsia="en-GB"/>
              </w:rPr>
              <w:t xml:space="preserve"> matter (GM)</w:t>
            </w:r>
          </w:p>
        </w:tc>
        <w:tc>
          <w:tcPr>
            <w:tcW w:w="1624" w:type="dxa"/>
            <w:vMerge w:val="restart"/>
            <w:tcBorders>
              <w:top w:val="single" w:sz="4" w:space="0" w:color="auto"/>
              <w:left w:val="nil"/>
              <w:bottom w:val="nil"/>
              <w:right w:val="nil"/>
            </w:tcBorders>
            <w:shd w:val="clear" w:color="auto" w:fill="auto"/>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Framingham risk</w:t>
            </w:r>
          </w:p>
        </w:tc>
        <w:tc>
          <w:tcPr>
            <w:tcW w:w="1124" w:type="dxa"/>
            <w:tcBorders>
              <w:top w:val="single" w:sz="4" w:space="0" w:color="auto"/>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194</w:t>
            </w:r>
          </w:p>
        </w:tc>
        <w:tc>
          <w:tcPr>
            <w:tcW w:w="1413" w:type="dxa"/>
            <w:tcBorders>
              <w:top w:val="single" w:sz="4" w:space="0" w:color="auto"/>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5.09</w:t>
            </w:r>
          </w:p>
        </w:tc>
        <w:tc>
          <w:tcPr>
            <w:tcW w:w="1413" w:type="dxa"/>
            <w:tcBorders>
              <w:top w:val="single" w:sz="4" w:space="0" w:color="auto"/>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0.008</w:t>
            </w:r>
          </w:p>
        </w:tc>
        <w:tc>
          <w:tcPr>
            <w:tcW w:w="672" w:type="dxa"/>
            <w:tcBorders>
              <w:top w:val="single" w:sz="4" w:space="0" w:color="auto"/>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24</w:t>
            </w:r>
          </w:p>
        </w:tc>
        <w:tc>
          <w:tcPr>
            <w:tcW w:w="672" w:type="dxa"/>
            <w:tcBorders>
              <w:top w:val="single" w:sz="4" w:space="0" w:color="auto"/>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2</w:t>
            </w:r>
          </w:p>
        </w:tc>
        <w:tc>
          <w:tcPr>
            <w:tcW w:w="672" w:type="dxa"/>
            <w:tcBorders>
              <w:top w:val="single" w:sz="4" w:space="0" w:color="auto"/>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-22</w:t>
            </w:r>
          </w:p>
        </w:tc>
        <w:tc>
          <w:tcPr>
            <w:tcW w:w="3724" w:type="dxa"/>
            <w:gridSpan w:val="2"/>
            <w:tcBorders>
              <w:top w:val="single" w:sz="4" w:space="0" w:color="auto"/>
              <w:left w:val="nil"/>
              <w:bottom w:val="nil"/>
              <w:right w:val="nil"/>
            </w:tcBorders>
            <w:shd w:val="clear" w:color="auto" w:fill="auto"/>
            <w:vAlign w:val="center"/>
            <w:hideMark/>
          </w:tcPr>
          <w:p w:rsidR="005359D8" w:rsidRPr="00A4341C" w:rsidRDefault="005359D8" w:rsidP="005F171C">
            <w:pPr>
              <w:jc w:val="right"/>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R amygdala, parahippocampal gyrus anterior division</w:t>
            </w:r>
          </w:p>
        </w:tc>
      </w:tr>
      <w:tr w:rsidR="005359D8" w:rsidRPr="00A4341C" w:rsidTr="004E34A9">
        <w:trPr>
          <w:gridAfter w:val="1"/>
          <w:wAfter w:w="8" w:type="dxa"/>
          <w:trHeight w:val="542"/>
        </w:trPr>
        <w:tc>
          <w:tcPr>
            <w:tcW w:w="1413"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624"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124"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21</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4.31</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0.042</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36</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20</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-20</w:t>
            </w:r>
          </w:p>
        </w:tc>
        <w:tc>
          <w:tcPr>
            <w:tcW w:w="3724" w:type="dxa"/>
            <w:gridSpan w:val="2"/>
            <w:tcBorders>
              <w:top w:val="nil"/>
              <w:left w:val="nil"/>
              <w:bottom w:val="nil"/>
              <w:right w:val="nil"/>
            </w:tcBorders>
            <w:shd w:val="clear" w:color="auto" w:fill="auto"/>
            <w:vAlign w:val="center"/>
            <w:hideMark/>
          </w:tcPr>
          <w:p w:rsidR="005359D8" w:rsidRPr="00A4341C" w:rsidRDefault="005359D8" w:rsidP="005F171C">
            <w:pPr>
              <w:jc w:val="right"/>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 xml:space="preserve">R frontal orbital cortex, </w:t>
            </w:r>
            <w:r w:rsidRPr="00A4341C">
              <w:rPr>
                <w:rFonts w:ascii="Calibri" w:eastAsia="Times New Roman" w:hAnsi="Calibri" w:cs="Times New Roman"/>
                <w:color w:val="000000"/>
                <w:sz w:val="21"/>
                <w:szCs w:val="21"/>
                <w:lang w:val="en-US" w:eastAsia="en-GB"/>
              </w:rPr>
              <w:br/>
              <w:t>temporal pole</w:t>
            </w:r>
          </w:p>
        </w:tc>
      </w:tr>
      <w:tr w:rsidR="005359D8" w:rsidRPr="00A4341C" w:rsidTr="004E34A9">
        <w:trPr>
          <w:gridAfter w:val="1"/>
          <w:wAfter w:w="8" w:type="dxa"/>
          <w:trHeight w:val="647"/>
        </w:trPr>
        <w:tc>
          <w:tcPr>
            <w:tcW w:w="1413"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624"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124"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14</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4.52</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0.045</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-44</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-20</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10</w:t>
            </w:r>
          </w:p>
        </w:tc>
        <w:tc>
          <w:tcPr>
            <w:tcW w:w="3724" w:type="dxa"/>
            <w:gridSpan w:val="2"/>
            <w:tcBorders>
              <w:top w:val="nil"/>
              <w:left w:val="nil"/>
              <w:bottom w:val="nil"/>
              <w:right w:val="nil"/>
            </w:tcBorders>
            <w:shd w:val="clear" w:color="auto" w:fill="auto"/>
            <w:vAlign w:val="center"/>
            <w:hideMark/>
          </w:tcPr>
          <w:p w:rsidR="005359D8" w:rsidRPr="00A4341C" w:rsidRDefault="005359D8" w:rsidP="005F171C">
            <w:pPr>
              <w:jc w:val="right"/>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L Heschl's Gyrus (includes H1 and H2), central opercular cortex</w:t>
            </w:r>
          </w:p>
        </w:tc>
      </w:tr>
      <w:tr w:rsidR="005359D8" w:rsidRPr="00A4341C" w:rsidTr="004E34A9">
        <w:trPr>
          <w:gridAfter w:val="1"/>
          <w:wAfter w:w="8" w:type="dxa"/>
          <w:trHeight w:val="542"/>
        </w:trPr>
        <w:tc>
          <w:tcPr>
            <w:tcW w:w="1413"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624" w:type="dxa"/>
            <w:tcBorders>
              <w:top w:val="nil"/>
              <w:left w:val="nil"/>
              <w:bottom w:val="nil"/>
              <w:right w:val="nil"/>
            </w:tcBorders>
            <w:shd w:val="clear" w:color="auto" w:fill="auto"/>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Metabolic syndrome</w:t>
            </w:r>
          </w:p>
        </w:tc>
        <w:tc>
          <w:tcPr>
            <w:tcW w:w="1124"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69</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4.70</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0.028</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48</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-24</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50</w:t>
            </w:r>
          </w:p>
        </w:tc>
        <w:tc>
          <w:tcPr>
            <w:tcW w:w="3724" w:type="dxa"/>
            <w:gridSpan w:val="2"/>
            <w:tcBorders>
              <w:top w:val="nil"/>
              <w:left w:val="nil"/>
              <w:bottom w:val="nil"/>
              <w:right w:val="nil"/>
            </w:tcBorders>
            <w:shd w:val="clear" w:color="auto" w:fill="auto"/>
            <w:noWrap/>
            <w:vAlign w:val="center"/>
            <w:hideMark/>
          </w:tcPr>
          <w:p w:rsidR="005359D8" w:rsidRPr="00A4341C" w:rsidRDefault="005359D8" w:rsidP="005F171C">
            <w:pPr>
              <w:jc w:val="right"/>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R postcentral gyrus</w:t>
            </w:r>
          </w:p>
        </w:tc>
      </w:tr>
      <w:tr w:rsidR="005359D8" w:rsidRPr="00A4341C" w:rsidTr="004E34A9">
        <w:trPr>
          <w:gridAfter w:val="1"/>
          <w:wAfter w:w="8" w:type="dxa"/>
          <w:trHeight w:val="542"/>
        </w:trPr>
        <w:tc>
          <w:tcPr>
            <w:tcW w:w="1413"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624" w:type="dxa"/>
            <w:vMerge w:val="restart"/>
            <w:tcBorders>
              <w:top w:val="nil"/>
              <w:left w:val="nil"/>
              <w:bottom w:val="nil"/>
              <w:right w:val="nil"/>
            </w:tcBorders>
            <w:shd w:val="clear" w:color="auto" w:fill="auto"/>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Allostatic load</w:t>
            </w:r>
          </w:p>
        </w:tc>
        <w:tc>
          <w:tcPr>
            <w:tcW w:w="1124"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3413</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5.21</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&lt; 0.001</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46</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-2</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w:t>
            </w:r>
          </w:p>
        </w:tc>
        <w:tc>
          <w:tcPr>
            <w:tcW w:w="3724" w:type="dxa"/>
            <w:gridSpan w:val="2"/>
            <w:tcBorders>
              <w:top w:val="nil"/>
              <w:left w:val="nil"/>
              <w:bottom w:val="nil"/>
              <w:right w:val="nil"/>
            </w:tcBorders>
            <w:shd w:val="clear" w:color="auto" w:fill="auto"/>
            <w:vAlign w:val="center"/>
            <w:hideMark/>
          </w:tcPr>
          <w:p w:rsidR="005359D8" w:rsidRPr="00A4341C" w:rsidRDefault="005359D8" w:rsidP="005F171C">
            <w:pPr>
              <w:jc w:val="right"/>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R planum polare,</w:t>
            </w:r>
            <w:r w:rsidRPr="00A4341C">
              <w:rPr>
                <w:rFonts w:ascii="Calibri" w:eastAsia="Times New Roman" w:hAnsi="Calibri" w:cs="Times New Roman"/>
                <w:color w:val="000000"/>
                <w:sz w:val="21"/>
                <w:szCs w:val="21"/>
                <w:lang w:val="en-US" w:eastAsia="en-GB"/>
              </w:rPr>
              <w:br/>
              <w:t xml:space="preserve"> insular cortex</w:t>
            </w:r>
          </w:p>
        </w:tc>
      </w:tr>
      <w:tr w:rsidR="005359D8" w:rsidRPr="00A4341C" w:rsidTr="004E34A9">
        <w:trPr>
          <w:gridAfter w:val="1"/>
          <w:wAfter w:w="8" w:type="dxa"/>
          <w:trHeight w:val="542"/>
        </w:trPr>
        <w:tc>
          <w:tcPr>
            <w:tcW w:w="1413"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624"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124"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134</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3.99</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0.033</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-48</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8</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w:t>
            </w:r>
          </w:p>
        </w:tc>
        <w:tc>
          <w:tcPr>
            <w:tcW w:w="3724" w:type="dxa"/>
            <w:gridSpan w:val="2"/>
            <w:tcBorders>
              <w:top w:val="nil"/>
              <w:left w:val="nil"/>
              <w:bottom w:val="nil"/>
              <w:right w:val="nil"/>
            </w:tcBorders>
            <w:shd w:val="clear" w:color="auto" w:fill="auto"/>
            <w:vAlign w:val="center"/>
            <w:hideMark/>
          </w:tcPr>
          <w:p w:rsidR="005359D8" w:rsidRPr="00A4341C" w:rsidRDefault="005359D8" w:rsidP="005F171C">
            <w:pPr>
              <w:jc w:val="right"/>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L central opercular cortex, frontal operculum cortex</w:t>
            </w:r>
          </w:p>
        </w:tc>
      </w:tr>
      <w:tr w:rsidR="005359D8" w:rsidRPr="00A4341C" w:rsidTr="004E34A9">
        <w:trPr>
          <w:gridAfter w:val="1"/>
          <w:wAfter w:w="8" w:type="dxa"/>
          <w:trHeight w:val="542"/>
        </w:trPr>
        <w:tc>
          <w:tcPr>
            <w:tcW w:w="1413"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624"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124"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44</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3.40</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0.045</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40</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-10</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40</w:t>
            </w:r>
          </w:p>
        </w:tc>
        <w:tc>
          <w:tcPr>
            <w:tcW w:w="3724" w:type="dxa"/>
            <w:gridSpan w:val="2"/>
            <w:tcBorders>
              <w:top w:val="nil"/>
              <w:left w:val="nil"/>
              <w:bottom w:val="nil"/>
              <w:right w:val="nil"/>
            </w:tcBorders>
            <w:shd w:val="clear" w:color="auto" w:fill="auto"/>
            <w:noWrap/>
            <w:vAlign w:val="center"/>
            <w:hideMark/>
          </w:tcPr>
          <w:p w:rsidR="005359D8" w:rsidRPr="00A4341C" w:rsidRDefault="005359D8" w:rsidP="005F171C">
            <w:pPr>
              <w:jc w:val="right"/>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R precentral gyrus</w:t>
            </w:r>
          </w:p>
        </w:tc>
      </w:tr>
      <w:tr w:rsidR="005359D8" w:rsidRPr="00A4341C" w:rsidTr="004E34A9">
        <w:trPr>
          <w:gridAfter w:val="1"/>
          <w:wAfter w:w="8" w:type="dxa"/>
          <w:trHeight w:val="542"/>
        </w:trPr>
        <w:tc>
          <w:tcPr>
            <w:tcW w:w="1413"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624"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124"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35</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3.40</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0.046</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52</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-20</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46</w:t>
            </w:r>
          </w:p>
        </w:tc>
        <w:tc>
          <w:tcPr>
            <w:tcW w:w="3724" w:type="dxa"/>
            <w:gridSpan w:val="2"/>
            <w:tcBorders>
              <w:top w:val="nil"/>
              <w:left w:val="nil"/>
              <w:bottom w:val="nil"/>
              <w:right w:val="nil"/>
            </w:tcBorders>
            <w:shd w:val="clear" w:color="auto" w:fill="auto"/>
            <w:noWrap/>
            <w:vAlign w:val="center"/>
            <w:hideMark/>
          </w:tcPr>
          <w:p w:rsidR="005359D8" w:rsidRPr="00A4341C" w:rsidRDefault="005359D8" w:rsidP="005F171C">
            <w:pPr>
              <w:jc w:val="right"/>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R postcentral gyrus</w:t>
            </w:r>
          </w:p>
        </w:tc>
      </w:tr>
      <w:tr w:rsidR="005359D8" w:rsidRPr="00A4341C" w:rsidTr="004E34A9">
        <w:trPr>
          <w:gridAfter w:val="1"/>
          <w:wAfter w:w="8" w:type="dxa"/>
          <w:trHeight w:val="542"/>
        </w:trPr>
        <w:tc>
          <w:tcPr>
            <w:tcW w:w="1413"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624"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124"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32</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3.87</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0.038</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48</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-34</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54</w:t>
            </w:r>
          </w:p>
        </w:tc>
        <w:tc>
          <w:tcPr>
            <w:tcW w:w="3724" w:type="dxa"/>
            <w:gridSpan w:val="2"/>
            <w:tcBorders>
              <w:top w:val="nil"/>
              <w:left w:val="nil"/>
              <w:bottom w:val="nil"/>
              <w:right w:val="nil"/>
            </w:tcBorders>
            <w:shd w:val="clear" w:color="auto" w:fill="auto"/>
            <w:vAlign w:val="center"/>
            <w:hideMark/>
          </w:tcPr>
          <w:p w:rsidR="005359D8" w:rsidRPr="00A4341C" w:rsidRDefault="005359D8" w:rsidP="005F171C">
            <w:pPr>
              <w:jc w:val="right"/>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R supramarginal gyrus anterior and posterior divisions</w:t>
            </w:r>
          </w:p>
        </w:tc>
      </w:tr>
      <w:tr w:rsidR="005359D8" w:rsidRPr="00A4341C" w:rsidTr="004E34A9">
        <w:trPr>
          <w:gridAfter w:val="1"/>
          <w:wAfter w:w="8" w:type="dxa"/>
          <w:trHeight w:val="542"/>
        </w:trPr>
        <w:tc>
          <w:tcPr>
            <w:tcW w:w="1413"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624" w:type="dxa"/>
            <w:vMerge/>
            <w:tcBorders>
              <w:top w:val="nil"/>
              <w:left w:val="nil"/>
              <w:bottom w:val="nil"/>
              <w:right w:val="nil"/>
            </w:tcBorders>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p>
        </w:tc>
        <w:tc>
          <w:tcPr>
            <w:tcW w:w="1124"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3.38</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0.049</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44</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0</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40</w:t>
            </w:r>
          </w:p>
        </w:tc>
        <w:tc>
          <w:tcPr>
            <w:tcW w:w="3724" w:type="dxa"/>
            <w:gridSpan w:val="2"/>
            <w:tcBorders>
              <w:top w:val="nil"/>
              <w:left w:val="nil"/>
              <w:bottom w:val="nil"/>
              <w:right w:val="nil"/>
            </w:tcBorders>
            <w:shd w:val="clear" w:color="auto" w:fill="auto"/>
            <w:noWrap/>
            <w:vAlign w:val="center"/>
            <w:hideMark/>
          </w:tcPr>
          <w:p w:rsidR="005359D8" w:rsidRPr="00A4341C" w:rsidRDefault="005359D8" w:rsidP="005F171C">
            <w:pPr>
              <w:jc w:val="right"/>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R precentral gyrus</w:t>
            </w:r>
          </w:p>
        </w:tc>
      </w:tr>
      <w:tr w:rsidR="005359D8" w:rsidRPr="00A4341C" w:rsidTr="004E34A9">
        <w:trPr>
          <w:gridAfter w:val="1"/>
          <w:wAfter w:w="8" w:type="dxa"/>
          <w:trHeight w:val="542"/>
        </w:trPr>
        <w:tc>
          <w:tcPr>
            <w:tcW w:w="1413" w:type="dxa"/>
            <w:tcBorders>
              <w:top w:val="nil"/>
              <w:left w:val="nil"/>
              <w:bottom w:val="nil"/>
              <w:right w:val="nil"/>
            </w:tcBorders>
            <w:shd w:val="clear" w:color="auto" w:fill="auto"/>
            <w:noWrap/>
            <w:textDirection w:val="btLr"/>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FA</w:t>
            </w:r>
          </w:p>
        </w:tc>
        <w:tc>
          <w:tcPr>
            <w:tcW w:w="1624" w:type="dxa"/>
            <w:tcBorders>
              <w:top w:val="nil"/>
              <w:left w:val="nil"/>
              <w:bottom w:val="nil"/>
              <w:right w:val="nil"/>
            </w:tcBorders>
            <w:shd w:val="clear" w:color="auto" w:fill="auto"/>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Framingham risk</w:t>
            </w:r>
          </w:p>
        </w:tc>
        <w:tc>
          <w:tcPr>
            <w:tcW w:w="1124"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15710</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4.97</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0.012</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14</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-19</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30</w:t>
            </w:r>
          </w:p>
        </w:tc>
        <w:tc>
          <w:tcPr>
            <w:tcW w:w="3724" w:type="dxa"/>
            <w:gridSpan w:val="2"/>
            <w:tcBorders>
              <w:top w:val="nil"/>
              <w:left w:val="nil"/>
              <w:bottom w:val="nil"/>
              <w:right w:val="nil"/>
            </w:tcBorders>
            <w:shd w:val="clear" w:color="auto" w:fill="auto"/>
            <w:noWrap/>
            <w:vAlign w:val="center"/>
            <w:hideMark/>
          </w:tcPr>
          <w:p w:rsidR="005359D8" w:rsidRPr="00A4341C" w:rsidRDefault="005359D8" w:rsidP="005F171C">
            <w:pPr>
              <w:jc w:val="right"/>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Body of corpus callosum</w:t>
            </w:r>
          </w:p>
        </w:tc>
      </w:tr>
      <w:tr w:rsidR="005359D8" w:rsidRPr="00A4341C" w:rsidTr="004E34A9">
        <w:trPr>
          <w:gridAfter w:val="1"/>
          <w:wAfter w:w="8" w:type="dxa"/>
          <w:trHeight w:val="542"/>
        </w:trPr>
        <w:tc>
          <w:tcPr>
            <w:tcW w:w="1413" w:type="dxa"/>
            <w:tcBorders>
              <w:top w:val="nil"/>
              <w:left w:val="nil"/>
              <w:bottom w:val="nil"/>
              <w:right w:val="nil"/>
            </w:tcBorders>
            <w:shd w:val="clear" w:color="auto" w:fill="auto"/>
            <w:noWrap/>
            <w:textDirection w:val="btLr"/>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MD</w:t>
            </w:r>
          </w:p>
        </w:tc>
        <w:tc>
          <w:tcPr>
            <w:tcW w:w="1624" w:type="dxa"/>
            <w:tcBorders>
              <w:top w:val="nil"/>
              <w:left w:val="nil"/>
              <w:bottom w:val="nil"/>
              <w:right w:val="nil"/>
            </w:tcBorders>
            <w:shd w:val="clear" w:color="auto" w:fill="auto"/>
            <w:vAlign w:val="center"/>
            <w:hideMark/>
          </w:tcPr>
          <w:p w:rsidR="005359D8" w:rsidRPr="00A4341C" w:rsidRDefault="005359D8" w:rsidP="005F171C">
            <w:pP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Framingham risk</w:t>
            </w:r>
          </w:p>
        </w:tc>
        <w:tc>
          <w:tcPr>
            <w:tcW w:w="1124"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19664</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7.63</w:t>
            </w:r>
          </w:p>
        </w:tc>
        <w:tc>
          <w:tcPr>
            <w:tcW w:w="1413"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0.006</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-19</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10</w:t>
            </w:r>
          </w:p>
        </w:tc>
        <w:tc>
          <w:tcPr>
            <w:tcW w:w="672" w:type="dxa"/>
            <w:tcBorders>
              <w:top w:val="nil"/>
              <w:left w:val="nil"/>
              <w:bottom w:val="nil"/>
              <w:right w:val="nil"/>
            </w:tcBorders>
            <w:shd w:val="clear" w:color="auto" w:fill="auto"/>
            <w:noWrap/>
            <w:vAlign w:val="center"/>
            <w:hideMark/>
          </w:tcPr>
          <w:p w:rsidR="005359D8" w:rsidRPr="00A4341C" w:rsidRDefault="005359D8" w:rsidP="005F171C">
            <w:pPr>
              <w:jc w:val="center"/>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38</w:t>
            </w:r>
          </w:p>
        </w:tc>
        <w:tc>
          <w:tcPr>
            <w:tcW w:w="3724" w:type="dxa"/>
            <w:gridSpan w:val="2"/>
            <w:tcBorders>
              <w:top w:val="nil"/>
              <w:left w:val="nil"/>
              <w:bottom w:val="nil"/>
              <w:right w:val="nil"/>
            </w:tcBorders>
            <w:shd w:val="clear" w:color="auto" w:fill="auto"/>
            <w:vAlign w:val="center"/>
            <w:hideMark/>
          </w:tcPr>
          <w:p w:rsidR="005359D8" w:rsidRPr="00A4341C" w:rsidRDefault="005359D8" w:rsidP="005F171C">
            <w:pPr>
              <w:jc w:val="right"/>
              <w:rPr>
                <w:rFonts w:ascii="Calibri" w:eastAsia="Times New Roman" w:hAnsi="Calibri" w:cs="Times New Roman"/>
                <w:color w:val="000000"/>
                <w:sz w:val="21"/>
                <w:szCs w:val="21"/>
                <w:lang w:val="en-US" w:eastAsia="en-GB"/>
              </w:rPr>
            </w:pPr>
            <w:r w:rsidRPr="00A4341C">
              <w:rPr>
                <w:rFonts w:ascii="Calibri" w:eastAsia="Times New Roman" w:hAnsi="Calibri" w:cs="Times New Roman"/>
                <w:color w:val="000000"/>
                <w:sz w:val="21"/>
                <w:szCs w:val="21"/>
                <w:lang w:val="en-US" w:eastAsia="en-GB"/>
              </w:rPr>
              <w:t xml:space="preserve">L anterior </w:t>
            </w:r>
            <w:r w:rsidRPr="00A4341C">
              <w:rPr>
                <w:rFonts w:ascii="Calibri" w:eastAsia="Times New Roman" w:hAnsi="Calibri" w:cs="Times New Roman"/>
                <w:color w:val="000000"/>
                <w:sz w:val="21"/>
                <w:szCs w:val="21"/>
                <w:lang w:val="en-US" w:eastAsia="en-GB"/>
              </w:rPr>
              <w:br/>
              <w:t>thalamic radiation</w:t>
            </w:r>
          </w:p>
        </w:tc>
      </w:tr>
    </w:tbl>
    <w:p w:rsidR="005359D8" w:rsidRDefault="005359D8" w:rsidP="00CC1A1A">
      <w:pPr>
        <w:rPr>
          <w:lang w:val="en-US"/>
        </w:rPr>
      </w:pPr>
      <w:r>
        <w:rPr>
          <w:lang w:val="en-US"/>
        </w:rPr>
        <w:br w:type="page"/>
      </w:r>
    </w:p>
    <w:p w:rsidR="005359D8" w:rsidRPr="00512D8C" w:rsidRDefault="005359D8" w:rsidP="00CC1A1A">
      <w:pPr>
        <w:rPr>
          <w:lang w:val="en-US"/>
        </w:rPr>
      </w:pPr>
      <w:r w:rsidRPr="00512D8C">
        <w:rPr>
          <w:lang w:val="en-US"/>
        </w:rPr>
        <w:lastRenderedPageBreak/>
        <w:t xml:space="preserve">Supplementary Table </w:t>
      </w:r>
      <w:r>
        <w:rPr>
          <w:lang w:val="en-US"/>
        </w:rPr>
        <w:t>S</w:t>
      </w:r>
      <w:r w:rsidRPr="00512D8C">
        <w:rPr>
          <w:lang w:val="en-US"/>
        </w:rPr>
        <w:t xml:space="preserve">4. Significant clusters of voxelwise grey matter (GM) negatively associated with allostatic load (AL) index. Framingham </w:t>
      </w:r>
      <w:r>
        <w:rPr>
          <w:lang w:val="en-US"/>
        </w:rPr>
        <w:t>s</w:t>
      </w:r>
      <w:r w:rsidRPr="00512D8C">
        <w:rPr>
          <w:lang w:val="en-US"/>
        </w:rPr>
        <w:t xml:space="preserve">troke </w:t>
      </w:r>
      <w:r>
        <w:rPr>
          <w:lang w:val="en-US"/>
        </w:rPr>
        <w:t>r</w:t>
      </w:r>
      <w:r w:rsidRPr="00512D8C">
        <w:rPr>
          <w:lang w:val="en-US"/>
        </w:rPr>
        <w:t xml:space="preserve">isk </w:t>
      </w:r>
      <w:r>
        <w:rPr>
          <w:lang w:val="en-US"/>
        </w:rPr>
        <w:t>s</w:t>
      </w:r>
      <w:r w:rsidRPr="00512D8C">
        <w:rPr>
          <w:lang w:val="en-US"/>
        </w:rPr>
        <w:t xml:space="preserve">core (FSRS) was negatively associated with clusters of </w:t>
      </w:r>
      <w:r>
        <w:rPr>
          <w:lang w:val="en-US"/>
        </w:rPr>
        <w:t>f</w:t>
      </w:r>
      <w:r w:rsidRPr="00512D8C">
        <w:rPr>
          <w:lang w:val="en-US"/>
        </w:rPr>
        <w:t xml:space="preserve">ractional </w:t>
      </w:r>
      <w:r>
        <w:rPr>
          <w:lang w:val="en-US"/>
        </w:rPr>
        <w:t>a</w:t>
      </w:r>
      <w:r w:rsidRPr="00512D8C">
        <w:rPr>
          <w:lang w:val="en-US"/>
        </w:rPr>
        <w:t>nisotropy (FA) and positively with mean diffusivity (MD).</w:t>
      </w:r>
    </w:p>
    <w:tbl>
      <w:tblPr>
        <w:tblW w:w="11785" w:type="dxa"/>
        <w:tblInd w:w="93" w:type="dxa"/>
        <w:tblLayout w:type="fixed"/>
        <w:tblLook w:val="04A0" w:firstRow="1" w:lastRow="0" w:firstColumn="1" w:lastColumn="0" w:noHBand="0" w:noVBand="1"/>
      </w:tblPr>
      <w:tblGrid>
        <w:gridCol w:w="1610"/>
        <w:gridCol w:w="1929"/>
        <w:gridCol w:w="1000"/>
        <w:gridCol w:w="1455"/>
        <w:gridCol w:w="1016"/>
        <w:gridCol w:w="761"/>
        <w:gridCol w:w="761"/>
        <w:gridCol w:w="767"/>
        <w:gridCol w:w="19"/>
        <w:gridCol w:w="2448"/>
        <w:gridCol w:w="19"/>
      </w:tblGrid>
      <w:tr w:rsidR="005359D8" w:rsidRPr="00512D8C" w:rsidTr="005F171C">
        <w:trPr>
          <w:trHeight w:val="129"/>
        </w:trPr>
        <w:tc>
          <w:tcPr>
            <w:tcW w:w="1610" w:type="dxa"/>
            <w:tcBorders>
              <w:top w:val="nil"/>
              <w:left w:val="nil"/>
              <w:bottom w:val="nil"/>
              <w:right w:val="nil"/>
            </w:tcBorders>
            <w:shd w:val="clear" w:color="auto" w:fill="auto"/>
            <w:noWrap/>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b/>
                <w:bCs/>
                <w:color w:val="000000"/>
                <w:sz w:val="20"/>
                <w:szCs w:val="20"/>
                <w:lang w:val="en-US" w:eastAsia="en-GB"/>
              </w:rPr>
            </w:pPr>
          </w:p>
        </w:tc>
        <w:tc>
          <w:tcPr>
            <w:tcW w:w="1000" w:type="dxa"/>
            <w:tcBorders>
              <w:top w:val="nil"/>
              <w:left w:val="nil"/>
              <w:bottom w:val="nil"/>
              <w:right w:val="nil"/>
            </w:tcBorders>
            <w:shd w:val="clear" w:color="auto" w:fill="auto"/>
            <w:vAlign w:val="center"/>
            <w:hideMark/>
          </w:tcPr>
          <w:p w:rsidR="005359D8" w:rsidRPr="00512D8C" w:rsidRDefault="005359D8" w:rsidP="005F171C">
            <w:pPr>
              <w:jc w:val="center"/>
              <w:rPr>
                <w:rFonts w:ascii="Calibri" w:eastAsia="Times New Roman" w:hAnsi="Calibri" w:cs="Times New Roman"/>
                <w:b/>
                <w:bCs/>
                <w:color w:val="000000"/>
                <w:sz w:val="20"/>
                <w:szCs w:val="20"/>
                <w:lang w:val="en-US" w:eastAsia="en-GB"/>
              </w:rPr>
            </w:pPr>
            <w:r w:rsidRPr="00512D8C">
              <w:rPr>
                <w:rFonts w:ascii="Calibri" w:eastAsia="Times New Roman" w:hAnsi="Calibri" w:cs="Times New Roman"/>
                <w:b/>
                <w:bCs/>
                <w:color w:val="000000"/>
                <w:sz w:val="20"/>
                <w:szCs w:val="20"/>
                <w:lang w:val="en-US" w:eastAsia="en-GB"/>
              </w:rPr>
              <w:t>No of voxels</w:t>
            </w:r>
          </w:p>
        </w:tc>
        <w:tc>
          <w:tcPr>
            <w:tcW w:w="1455" w:type="dxa"/>
            <w:tcBorders>
              <w:top w:val="nil"/>
              <w:left w:val="nil"/>
              <w:bottom w:val="nil"/>
              <w:right w:val="nil"/>
            </w:tcBorders>
            <w:shd w:val="clear" w:color="auto" w:fill="auto"/>
            <w:vAlign w:val="center"/>
            <w:hideMark/>
          </w:tcPr>
          <w:p w:rsidR="005359D8" w:rsidRPr="00512D8C" w:rsidRDefault="005359D8" w:rsidP="005F171C">
            <w:pPr>
              <w:jc w:val="center"/>
              <w:rPr>
                <w:rFonts w:ascii="Calibri" w:eastAsia="Times New Roman" w:hAnsi="Calibri" w:cs="Times New Roman"/>
                <w:b/>
                <w:bCs/>
                <w:color w:val="000000"/>
                <w:sz w:val="20"/>
                <w:szCs w:val="20"/>
                <w:lang w:val="en-US" w:eastAsia="en-GB"/>
              </w:rPr>
            </w:pPr>
            <w:r w:rsidRPr="00512D8C">
              <w:rPr>
                <w:rFonts w:ascii="Calibri" w:eastAsia="Times New Roman" w:hAnsi="Calibri" w:cs="Times New Roman"/>
                <w:b/>
                <w:bCs/>
                <w:color w:val="000000"/>
                <w:sz w:val="20"/>
                <w:szCs w:val="20"/>
                <w:lang w:val="en-US" w:eastAsia="en-GB"/>
              </w:rPr>
              <w:t xml:space="preserve">Max statistic </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b/>
                <w:bCs/>
                <w:color w:val="000000"/>
                <w:sz w:val="20"/>
                <w:szCs w:val="20"/>
                <w:lang w:val="en-US" w:eastAsia="en-GB"/>
              </w:rPr>
            </w:pPr>
            <w:r w:rsidRPr="00512D8C">
              <w:rPr>
                <w:rFonts w:ascii="Calibri" w:eastAsia="Times New Roman" w:hAnsi="Calibri" w:cs="Times New Roman"/>
                <w:b/>
                <w:bCs/>
                <w:i/>
                <w:iCs/>
                <w:color w:val="000000"/>
                <w:sz w:val="20"/>
                <w:szCs w:val="20"/>
                <w:lang w:val="en-US" w:eastAsia="en-GB"/>
              </w:rPr>
              <w:t>p</w:t>
            </w:r>
            <w:r w:rsidRPr="00512D8C">
              <w:rPr>
                <w:rFonts w:ascii="Calibri" w:eastAsia="Times New Roman" w:hAnsi="Calibri" w:cs="Times New Roman"/>
                <w:b/>
                <w:bCs/>
                <w:color w:val="000000"/>
                <w:sz w:val="20"/>
                <w:szCs w:val="20"/>
                <w:lang w:val="en-US" w:eastAsia="en-GB"/>
              </w:rPr>
              <w:t>-value</w:t>
            </w:r>
          </w:p>
        </w:tc>
        <w:tc>
          <w:tcPr>
            <w:tcW w:w="2308" w:type="dxa"/>
            <w:gridSpan w:val="4"/>
            <w:tcBorders>
              <w:top w:val="nil"/>
              <w:left w:val="nil"/>
              <w:bottom w:val="nil"/>
              <w:right w:val="nil"/>
            </w:tcBorders>
            <w:shd w:val="clear" w:color="auto" w:fill="auto"/>
            <w:vAlign w:val="center"/>
            <w:hideMark/>
          </w:tcPr>
          <w:p w:rsidR="005359D8" w:rsidRPr="00512D8C" w:rsidRDefault="005359D8" w:rsidP="005F171C">
            <w:pPr>
              <w:jc w:val="center"/>
              <w:rPr>
                <w:rFonts w:ascii="Calibri" w:eastAsia="Times New Roman" w:hAnsi="Calibri" w:cs="Times New Roman"/>
                <w:b/>
                <w:bCs/>
                <w:color w:val="000000"/>
                <w:sz w:val="20"/>
                <w:szCs w:val="20"/>
                <w:lang w:val="en-US" w:eastAsia="en-GB"/>
              </w:rPr>
            </w:pPr>
            <w:r w:rsidRPr="00512D8C">
              <w:rPr>
                <w:rFonts w:ascii="Calibri" w:eastAsia="Times New Roman" w:hAnsi="Calibri" w:cs="Times New Roman"/>
                <w:b/>
                <w:bCs/>
                <w:color w:val="000000"/>
                <w:sz w:val="20"/>
                <w:szCs w:val="20"/>
                <w:lang w:val="en-US" w:eastAsia="en-GB"/>
              </w:rPr>
              <w:t xml:space="preserve">MNI coordinates </w:t>
            </w:r>
            <w:r w:rsidRPr="00512D8C">
              <w:rPr>
                <w:rFonts w:ascii="Calibri" w:eastAsia="Times New Roman" w:hAnsi="Calibri" w:cs="Times New Roman"/>
                <w:b/>
                <w:bCs/>
                <w:color w:val="000000"/>
                <w:sz w:val="20"/>
                <w:szCs w:val="20"/>
                <w:lang w:val="en-US" w:eastAsia="en-GB"/>
              </w:rPr>
              <w:br/>
              <w:t>(x, y, z)</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b/>
                <w:bCs/>
                <w:color w:val="000000"/>
                <w:sz w:val="20"/>
                <w:szCs w:val="20"/>
                <w:lang w:val="en-US" w:eastAsia="en-GB"/>
              </w:rPr>
            </w:pPr>
            <w:r w:rsidRPr="00512D8C">
              <w:rPr>
                <w:rFonts w:ascii="Calibri" w:eastAsia="Times New Roman" w:hAnsi="Calibri" w:cs="Times New Roman"/>
                <w:b/>
                <w:bCs/>
                <w:color w:val="000000"/>
                <w:sz w:val="20"/>
                <w:szCs w:val="20"/>
                <w:lang w:val="en-US" w:eastAsia="en-GB"/>
              </w:rPr>
              <w:t>Structure</w:t>
            </w:r>
          </w:p>
        </w:tc>
      </w:tr>
      <w:tr w:rsidR="005359D8" w:rsidRPr="00512D8C" w:rsidTr="005F171C">
        <w:trPr>
          <w:gridAfter w:val="1"/>
          <w:wAfter w:w="19" w:type="dxa"/>
          <w:trHeight w:val="161"/>
        </w:trPr>
        <w:tc>
          <w:tcPr>
            <w:tcW w:w="1610" w:type="dxa"/>
            <w:vMerge w:val="restart"/>
            <w:tcBorders>
              <w:top w:val="nil"/>
              <w:left w:val="nil"/>
              <w:bottom w:val="nil"/>
              <w:right w:val="nil"/>
            </w:tcBorders>
            <w:shd w:val="clear" w:color="auto" w:fill="auto"/>
            <w:noWrap/>
            <w:textDirection w:val="btLr"/>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Pr>
                <w:rFonts w:ascii="Calibri" w:eastAsia="Times New Roman" w:hAnsi="Calibri" w:cs="Times New Roman"/>
                <w:color w:val="000000"/>
                <w:sz w:val="20"/>
                <w:szCs w:val="20"/>
                <w:lang w:val="en-US" w:eastAsia="en-GB"/>
              </w:rPr>
              <w:t>Grey</w:t>
            </w:r>
            <w:r w:rsidRPr="00512D8C">
              <w:rPr>
                <w:rFonts w:ascii="Calibri" w:eastAsia="Times New Roman" w:hAnsi="Calibri" w:cs="Times New Roman"/>
                <w:color w:val="000000"/>
                <w:sz w:val="20"/>
                <w:szCs w:val="20"/>
                <w:lang w:val="en-US" w:eastAsia="en-GB"/>
              </w:rPr>
              <w:t xml:space="preserve"> matter</w:t>
            </w:r>
          </w:p>
        </w:tc>
        <w:tc>
          <w:tcPr>
            <w:tcW w:w="1929" w:type="dxa"/>
            <w:tcBorders>
              <w:top w:val="nil"/>
              <w:left w:val="nil"/>
              <w:bottom w:val="nil"/>
              <w:right w:val="nil"/>
            </w:tcBorders>
            <w:shd w:val="clear" w:color="auto" w:fill="auto"/>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 xml:space="preserve">MetS or AL </w:t>
            </w:r>
            <w:r w:rsidRPr="00512D8C">
              <w:rPr>
                <w:rFonts w:ascii="Calibri" w:eastAsia="Times New Roman" w:hAnsi="Calibri" w:cs="Times New Roman"/>
                <w:color w:val="000000"/>
                <w:sz w:val="20"/>
                <w:szCs w:val="20"/>
                <w:lang w:val="en-US" w:eastAsia="en-GB"/>
              </w:rPr>
              <w:br/>
              <w:t>F (1,340)</w:t>
            </w: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38</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11.70</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0.042</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46</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-12</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R insular cortex</w:t>
            </w:r>
          </w:p>
        </w:tc>
      </w:tr>
      <w:tr w:rsidR="005359D8" w:rsidRPr="00512D8C" w:rsidTr="005F171C">
        <w:trPr>
          <w:gridAfter w:val="1"/>
          <w:wAfter w:w="19" w:type="dxa"/>
          <w:trHeight w:val="605"/>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vMerge w:val="restart"/>
            <w:tcBorders>
              <w:top w:val="nil"/>
              <w:left w:val="nil"/>
              <w:bottom w:val="nil"/>
              <w:right w:val="nil"/>
            </w:tcBorders>
            <w:shd w:val="clear" w:color="auto" w:fill="auto"/>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 xml:space="preserve">AL index </w:t>
            </w:r>
            <w:r w:rsidRPr="00512D8C">
              <w:rPr>
                <w:rFonts w:ascii="Calibri" w:eastAsia="Times New Roman" w:hAnsi="Calibri" w:cs="Times New Roman"/>
                <w:color w:val="000000"/>
                <w:sz w:val="20"/>
                <w:szCs w:val="20"/>
                <w:lang w:val="en-US" w:eastAsia="en-GB"/>
              </w:rPr>
              <w:br/>
              <w:t>t (340)</w:t>
            </w: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280</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4.61</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0.009</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50</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-4</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-10</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R planum polare</w:t>
            </w:r>
          </w:p>
        </w:tc>
      </w:tr>
      <w:tr w:rsidR="005359D8" w:rsidRPr="00512D8C" w:rsidTr="005F171C">
        <w:trPr>
          <w:gridAfter w:val="1"/>
          <w:wAfter w:w="19" w:type="dxa"/>
          <w:trHeight w:val="144"/>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17</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4.03</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0.046</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46</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10</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-24</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R temporal pole</w:t>
            </w:r>
          </w:p>
        </w:tc>
      </w:tr>
      <w:tr w:rsidR="005359D8" w:rsidRPr="00512D8C" w:rsidTr="005F171C">
        <w:trPr>
          <w:gridAfter w:val="1"/>
          <w:wAfter w:w="19" w:type="dxa"/>
          <w:trHeight w:val="118"/>
        </w:trPr>
        <w:tc>
          <w:tcPr>
            <w:tcW w:w="1610" w:type="dxa"/>
            <w:vMerge w:val="restart"/>
            <w:tcBorders>
              <w:top w:val="nil"/>
              <w:left w:val="nil"/>
              <w:bottom w:val="nil"/>
              <w:right w:val="nil"/>
            </w:tcBorders>
            <w:shd w:val="clear" w:color="auto" w:fill="auto"/>
            <w:noWrap/>
            <w:textDirection w:val="btLr"/>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Fractional anisotropy</w:t>
            </w:r>
          </w:p>
        </w:tc>
        <w:tc>
          <w:tcPr>
            <w:tcW w:w="1929" w:type="dxa"/>
            <w:tcBorders>
              <w:top w:val="nil"/>
              <w:left w:val="nil"/>
              <w:bottom w:val="nil"/>
              <w:right w:val="nil"/>
            </w:tcBorders>
            <w:shd w:val="clear" w:color="auto" w:fill="auto"/>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FSRS or MetS</w:t>
            </w:r>
            <w:r w:rsidRPr="00512D8C">
              <w:rPr>
                <w:rFonts w:ascii="Calibri" w:eastAsia="Times New Roman" w:hAnsi="Calibri" w:cs="Times New Roman"/>
                <w:color w:val="000000"/>
                <w:sz w:val="20"/>
                <w:szCs w:val="20"/>
                <w:lang w:val="en-US" w:eastAsia="en-GB"/>
              </w:rPr>
              <w:br/>
              <w:t>F (1,329)</w:t>
            </w: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67</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11.40</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0.045</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14</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-19</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30</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 xml:space="preserve">Body of </w:t>
            </w:r>
            <w:r w:rsidRPr="00512D8C">
              <w:rPr>
                <w:rFonts w:ascii="Calibri" w:eastAsia="Times New Roman" w:hAnsi="Calibri" w:cs="Times New Roman"/>
                <w:color w:val="000000"/>
                <w:sz w:val="20"/>
                <w:szCs w:val="20"/>
                <w:lang w:val="en-US" w:eastAsia="en-GB"/>
              </w:rPr>
              <w:br/>
              <w:t>corpus callosum</w:t>
            </w:r>
          </w:p>
        </w:tc>
      </w:tr>
      <w:tr w:rsidR="005359D8" w:rsidRPr="00512D8C" w:rsidTr="005F171C">
        <w:trPr>
          <w:gridAfter w:val="1"/>
          <w:wAfter w:w="19" w:type="dxa"/>
          <w:trHeight w:val="118"/>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vMerge w:val="restart"/>
            <w:tcBorders>
              <w:top w:val="nil"/>
              <w:left w:val="nil"/>
              <w:bottom w:val="nil"/>
              <w:right w:val="nil"/>
            </w:tcBorders>
            <w:shd w:val="clear" w:color="auto" w:fill="auto"/>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FSRS</w:t>
            </w:r>
            <w:r w:rsidRPr="00512D8C">
              <w:rPr>
                <w:rFonts w:ascii="Calibri" w:eastAsia="Times New Roman" w:hAnsi="Calibri" w:cs="Times New Roman"/>
                <w:color w:val="000000"/>
                <w:sz w:val="20"/>
                <w:szCs w:val="20"/>
                <w:lang w:val="en-US" w:eastAsia="en-GB"/>
              </w:rPr>
              <w:br/>
              <w:t>t (329)</w:t>
            </w: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4110</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4.64</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0.020</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14</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-19</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30</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 xml:space="preserve">Body of </w:t>
            </w:r>
            <w:r w:rsidRPr="00512D8C">
              <w:rPr>
                <w:rFonts w:ascii="Calibri" w:eastAsia="Times New Roman" w:hAnsi="Calibri" w:cs="Times New Roman"/>
                <w:color w:val="000000"/>
                <w:sz w:val="20"/>
                <w:szCs w:val="20"/>
                <w:lang w:val="en-US" w:eastAsia="en-GB"/>
              </w:rPr>
              <w:br/>
              <w:t>corpus callosum</w:t>
            </w:r>
          </w:p>
        </w:tc>
      </w:tr>
      <w:tr w:rsidR="005359D8" w:rsidRPr="00512D8C" w:rsidTr="005F171C">
        <w:trPr>
          <w:gridAfter w:val="1"/>
          <w:wAfter w:w="19" w:type="dxa"/>
          <w:trHeight w:val="118"/>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1933</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4.17</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0.037</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-21</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-51</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9</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Forceps major</w:t>
            </w:r>
          </w:p>
        </w:tc>
      </w:tr>
      <w:tr w:rsidR="005359D8" w:rsidRPr="00512D8C" w:rsidTr="005F171C">
        <w:trPr>
          <w:gridAfter w:val="1"/>
          <w:wAfter w:w="19" w:type="dxa"/>
          <w:trHeight w:val="118"/>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1276</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4.66</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0.033</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32</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12</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17</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 xml:space="preserve">R anterior </w:t>
            </w:r>
            <w:r w:rsidRPr="00512D8C">
              <w:rPr>
                <w:rFonts w:ascii="Calibri" w:eastAsia="Times New Roman" w:hAnsi="Calibri" w:cs="Times New Roman"/>
                <w:color w:val="000000"/>
                <w:sz w:val="20"/>
                <w:szCs w:val="20"/>
                <w:lang w:val="en-US" w:eastAsia="en-GB"/>
              </w:rPr>
              <w:br/>
              <w:t>corona radiata</w:t>
            </w:r>
          </w:p>
        </w:tc>
      </w:tr>
      <w:tr w:rsidR="005359D8" w:rsidRPr="00512D8C" w:rsidTr="005F171C">
        <w:trPr>
          <w:gridAfter w:val="1"/>
          <w:wAfter w:w="19" w:type="dxa"/>
          <w:trHeight w:val="118"/>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1142</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4.40</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0.042</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-29</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28</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14</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L inferior fronto-occipital fasciculus</w:t>
            </w:r>
          </w:p>
        </w:tc>
      </w:tr>
      <w:tr w:rsidR="005359D8" w:rsidRPr="00512D8C" w:rsidTr="005F171C">
        <w:trPr>
          <w:gridAfter w:val="1"/>
          <w:wAfter w:w="19" w:type="dxa"/>
          <w:trHeight w:val="118"/>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65</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2.92</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&lt; 0.050</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20</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8</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12</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 xml:space="preserve">R anterior </w:t>
            </w:r>
            <w:r w:rsidRPr="00512D8C">
              <w:rPr>
                <w:rFonts w:ascii="Calibri" w:eastAsia="Times New Roman" w:hAnsi="Calibri" w:cs="Times New Roman"/>
                <w:color w:val="000000"/>
                <w:sz w:val="20"/>
                <w:szCs w:val="20"/>
                <w:lang w:val="en-US" w:eastAsia="en-GB"/>
              </w:rPr>
              <w:br/>
              <w:t>thalamic radiation</w:t>
            </w:r>
          </w:p>
        </w:tc>
      </w:tr>
      <w:tr w:rsidR="005359D8" w:rsidRPr="00512D8C" w:rsidTr="005F171C">
        <w:trPr>
          <w:gridAfter w:val="1"/>
          <w:wAfter w:w="19" w:type="dxa"/>
          <w:trHeight w:val="118"/>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28</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1.98</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&lt; 0.050</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-34</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-33</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25</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 xml:space="preserve">L superior </w:t>
            </w:r>
            <w:r w:rsidRPr="00512D8C">
              <w:rPr>
                <w:rFonts w:ascii="Calibri" w:eastAsia="Times New Roman" w:hAnsi="Calibri" w:cs="Times New Roman"/>
                <w:color w:val="000000"/>
                <w:sz w:val="20"/>
                <w:szCs w:val="20"/>
                <w:lang w:val="en-US" w:eastAsia="en-GB"/>
              </w:rPr>
              <w:br/>
              <w:t>longitudinal fasciculus</w:t>
            </w:r>
          </w:p>
        </w:tc>
      </w:tr>
      <w:tr w:rsidR="005359D8" w:rsidRPr="00512D8C" w:rsidTr="005F171C">
        <w:trPr>
          <w:gridAfter w:val="1"/>
          <w:wAfter w:w="19" w:type="dxa"/>
          <w:trHeight w:val="118"/>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21</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2.02</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&lt; 0.050</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-38</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-48</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17</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 xml:space="preserve">L superior </w:t>
            </w:r>
            <w:r w:rsidRPr="00512D8C">
              <w:rPr>
                <w:rFonts w:ascii="Calibri" w:eastAsia="Times New Roman" w:hAnsi="Calibri" w:cs="Times New Roman"/>
                <w:color w:val="000000"/>
                <w:sz w:val="20"/>
                <w:szCs w:val="20"/>
                <w:lang w:val="en-US" w:eastAsia="en-GB"/>
              </w:rPr>
              <w:br/>
              <w:t>longitudinal fasciculus</w:t>
            </w:r>
          </w:p>
        </w:tc>
      </w:tr>
      <w:tr w:rsidR="005359D8" w:rsidRPr="00512D8C" w:rsidTr="005F171C">
        <w:trPr>
          <w:gridAfter w:val="1"/>
          <w:wAfter w:w="19" w:type="dxa"/>
          <w:trHeight w:val="118"/>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5</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3.28</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&lt; 0.050</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16</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-53</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56</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 xml:space="preserve">R anterior </w:t>
            </w:r>
            <w:r w:rsidRPr="00512D8C">
              <w:rPr>
                <w:rFonts w:ascii="Calibri" w:eastAsia="Times New Roman" w:hAnsi="Calibri" w:cs="Times New Roman"/>
                <w:color w:val="000000"/>
                <w:sz w:val="20"/>
                <w:szCs w:val="20"/>
                <w:lang w:val="en-US" w:eastAsia="en-GB"/>
              </w:rPr>
              <w:br/>
              <w:t>thalamic radiation</w:t>
            </w:r>
          </w:p>
        </w:tc>
      </w:tr>
      <w:tr w:rsidR="005359D8" w:rsidRPr="00512D8C" w:rsidTr="005F171C">
        <w:trPr>
          <w:gridAfter w:val="1"/>
          <w:wAfter w:w="19" w:type="dxa"/>
          <w:trHeight w:val="103"/>
        </w:trPr>
        <w:tc>
          <w:tcPr>
            <w:tcW w:w="1610" w:type="dxa"/>
            <w:vMerge w:val="restart"/>
            <w:tcBorders>
              <w:top w:val="nil"/>
              <w:left w:val="nil"/>
              <w:bottom w:val="nil"/>
              <w:right w:val="nil"/>
            </w:tcBorders>
            <w:shd w:val="clear" w:color="auto" w:fill="auto"/>
            <w:noWrap/>
            <w:textDirection w:val="btLr"/>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Mean diffusivity</w:t>
            </w:r>
          </w:p>
        </w:tc>
        <w:tc>
          <w:tcPr>
            <w:tcW w:w="1929" w:type="dxa"/>
            <w:tcBorders>
              <w:top w:val="nil"/>
              <w:left w:val="nil"/>
              <w:bottom w:val="nil"/>
              <w:right w:val="nil"/>
            </w:tcBorders>
            <w:shd w:val="clear" w:color="auto" w:fill="auto"/>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FSRS or AL</w:t>
            </w:r>
            <w:r w:rsidRPr="00512D8C">
              <w:rPr>
                <w:rFonts w:ascii="Calibri" w:eastAsia="Times New Roman" w:hAnsi="Calibri" w:cs="Times New Roman"/>
                <w:color w:val="000000"/>
                <w:sz w:val="20"/>
                <w:szCs w:val="20"/>
                <w:lang w:val="en-US" w:eastAsia="en-GB"/>
              </w:rPr>
              <w:br/>
              <w:t>F (1,329)</w:t>
            </w: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10760</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24.60</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0.013</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-19</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10</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38</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 xml:space="preserve">L anterior </w:t>
            </w:r>
            <w:r w:rsidRPr="00512D8C">
              <w:rPr>
                <w:rFonts w:ascii="Calibri" w:eastAsia="Times New Roman" w:hAnsi="Calibri" w:cs="Times New Roman"/>
                <w:color w:val="000000"/>
                <w:sz w:val="20"/>
                <w:szCs w:val="20"/>
                <w:lang w:val="en-US" w:eastAsia="en-GB"/>
              </w:rPr>
              <w:br/>
              <w:t>thalamic radiation</w:t>
            </w:r>
          </w:p>
        </w:tc>
      </w:tr>
      <w:tr w:rsidR="005359D8" w:rsidRPr="00512D8C" w:rsidTr="005F171C">
        <w:trPr>
          <w:gridAfter w:val="1"/>
          <w:wAfter w:w="19" w:type="dxa"/>
          <w:trHeight w:val="103"/>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vMerge w:val="restart"/>
            <w:tcBorders>
              <w:top w:val="nil"/>
              <w:left w:val="nil"/>
              <w:bottom w:val="nil"/>
              <w:right w:val="nil"/>
            </w:tcBorders>
            <w:shd w:val="clear" w:color="auto" w:fill="auto"/>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FSRS or MetS</w:t>
            </w:r>
            <w:r w:rsidRPr="00512D8C">
              <w:rPr>
                <w:rFonts w:ascii="Calibri" w:eastAsia="Times New Roman" w:hAnsi="Calibri" w:cs="Times New Roman"/>
                <w:color w:val="000000"/>
                <w:sz w:val="20"/>
                <w:szCs w:val="20"/>
                <w:lang w:val="en-US" w:eastAsia="en-GB"/>
              </w:rPr>
              <w:br/>
              <w:t>F (1,329)</w:t>
            </w:r>
          </w:p>
        </w:tc>
        <w:tc>
          <w:tcPr>
            <w:tcW w:w="1000" w:type="dxa"/>
            <w:tcBorders>
              <w:top w:val="nil"/>
              <w:left w:val="nil"/>
              <w:bottom w:val="nil"/>
              <w:right w:val="nil"/>
            </w:tcBorders>
            <w:shd w:val="clear" w:color="auto" w:fill="auto"/>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11550</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28.8</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0.008</w:t>
            </w:r>
          </w:p>
        </w:tc>
        <w:tc>
          <w:tcPr>
            <w:tcW w:w="761" w:type="dxa"/>
            <w:tcBorders>
              <w:top w:val="nil"/>
              <w:left w:val="nil"/>
              <w:bottom w:val="nil"/>
              <w:right w:val="nil"/>
            </w:tcBorders>
            <w:shd w:val="clear" w:color="auto" w:fill="auto"/>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-19</w:t>
            </w:r>
          </w:p>
        </w:tc>
        <w:tc>
          <w:tcPr>
            <w:tcW w:w="761" w:type="dxa"/>
            <w:tcBorders>
              <w:top w:val="nil"/>
              <w:left w:val="nil"/>
              <w:bottom w:val="nil"/>
              <w:right w:val="nil"/>
            </w:tcBorders>
            <w:shd w:val="clear" w:color="auto" w:fill="auto"/>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10</w:t>
            </w:r>
          </w:p>
        </w:tc>
        <w:tc>
          <w:tcPr>
            <w:tcW w:w="767" w:type="dxa"/>
            <w:tcBorders>
              <w:top w:val="nil"/>
              <w:left w:val="nil"/>
              <w:bottom w:val="nil"/>
              <w:right w:val="nil"/>
            </w:tcBorders>
            <w:shd w:val="clear" w:color="auto" w:fill="auto"/>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38</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 xml:space="preserve">L anterior </w:t>
            </w:r>
            <w:r w:rsidRPr="00512D8C">
              <w:rPr>
                <w:rFonts w:ascii="Calibri" w:eastAsia="Times New Roman" w:hAnsi="Calibri" w:cs="Times New Roman"/>
                <w:color w:val="000000"/>
                <w:sz w:val="20"/>
                <w:szCs w:val="20"/>
                <w:lang w:val="en-US" w:eastAsia="en-GB"/>
              </w:rPr>
              <w:br/>
              <w:t>thalamic radiation</w:t>
            </w:r>
          </w:p>
        </w:tc>
      </w:tr>
      <w:tr w:rsidR="005359D8" w:rsidRPr="00512D8C" w:rsidTr="005F171C">
        <w:trPr>
          <w:gridAfter w:val="1"/>
          <w:wAfter w:w="19" w:type="dxa"/>
          <w:trHeight w:val="103"/>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000" w:type="dxa"/>
            <w:tcBorders>
              <w:top w:val="nil"/>
              <w:left w:val="nil"/>
              <w:bottom w:val="nil"/>
              <w:right w:val="nil"/>
            </w:tcBorders>
            <w:shd w:val="clear" w:color="auto" w:fill="auto"/>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152</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7.28</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0.048</w:t>
            </w:r>
          </w:p>
        </w:tc>
        <w:tc>
          <w:tcPr>
            <w:tcW w:w="761" w:type="dxa"/>
            <w:tcBorders>
              <w:top w:val="nil"/>
              <w:left w:val="nil"/>
              <w:bottom w:val="nil"/>
              <w:right w:val="nil"/>
            </w:tcBorders>
            <w:shd w:val="clear" w:color="auto" w:fill="auto"/>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-30</w:t>
            </w:r>
          </w:p>
        </w:tc>
        <w:tc>
          <w:tcPr>
            <w:tcW w:w="761" w:type="dxa"/>
            <w:tcBorders>
              <w:top w:val="nil"/>
              <w:left w:val="nil"/>
              <w:bottom w:val="nil"/>
              <w:right w:val="nil"/>
            </w:tcBorders>
            <w:shd w:val="clear" w:color="auto" w:fill="auto"/>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-26</w:t>
            </w:r>
          </w:p>
        </w:tc>
        <w:tc>
          <w:tcPr>
            <w:tcW w:w="767" w:type="dxa"/>
            <w:tcBorders>
              <w:top w:val="nil"/>
              <w:left w:val="nil"/>
              <w:bottom w:val="nil"/>
              <w:right w:val="nil"/>
            </w:tcBorders>
            <w:shd w:val="clear" w:color="auto" w:fill="auto"/>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4</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L internal capsule</w:t>
            </w:r>
          </w:p>
        </w:tc>
      </w:tr>
      <w:tr w:rsidR="005359D8" w:rsidRPr="00512D8C" w:rsidTr="005F171C">
        <w:trPr>
          <w:gridAfter w:val="1"/>
          <w:wAfter w:w="19" w:type="dxa"/>
          <w:trHeight w:val="103"/>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101</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10.40</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0.047</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37</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15</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18</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 xml:space="preserve">R superior </w:t>
            </w:r>
            <w:r w:rsidRPr="00512D8C">
              <w:rPr>
                <w:rFonts w:ascii="Calibri" w:eastAsia="Times New Roman" w:hAnsi="Calibri" w:cs="Times New Roman"/>
                <w:color w:val="000000"/>
                <w:sz w:val="20"/>
                <w:szCs w:val="20"/>
                <w:lang w:val="en-US" w:eastAsia="en-GB"/>
              </w:rPr>
              <w:br/>
              <w:t>longitudinal fasciculus</w:t>
            </w:r>
          </w:p>
        </w:tc>
      </w:tr>
      <w:tr w:rsidR="005359D8" w:rsidRPr="00512D8C" w:rsidTr="005F171C">
        <w:trPr>
          <w:gridAfter w:val="1"/>
          <w:wAfter w:w="19" w:type="dxa"/>
          <w:trHeight w:val="111"/>
        </w:trPr>
        <w:tc>
          <w:tcPr>
            <w:tcW w:w="1610" w:type="dxa"/>
            <w:vMerge/>
            <w:tcBorders>
              <w:top w:val="nil"/>
              <w:left w:val="nil"/>
              <w:bottom w:val="nil"/>
              <w:right w:val="nil"/>
            </w:tcBorders>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p>
        </w:tc>
        <w:tc>
          <w:tcPr>
            <w:tcW w:w="1929" w:type="dxa"/>
            <w:tcBorders>
              <w:top w:val="nil"/>
              <w:left w:val="nil"/>
              <w:bottom w:val="nil"/>
              <w:right w:val="nil"/>
            </w:tcBorders>
            <w:shd w:val="clear" w:color="auto" w:fill="auto"/>
            <w:vAlign w:val="center"/>
            <w:hideMark/>
          </w:tcPr>
          <w:p w:rsidR="005359D8" w:rsidRPr="00512D8C" w:rsidRDefault="005359D8" w:rsidP="005F171C">
            <w:pP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FSRS</w:t>
            </w:r>
            <w:r w:rsidRPr="00512D8C">
              <w:rPr>
                <w:rFonts w:ascii="Calibri" w:eastAsia="Times New Roman" w:hAnsi="Calibri" w:cs="Times New Roman"/>
                <w:color w:val="000000"/>
                <w:sz w:val="20"/>
                <w:szCs w:val="20"/>
                <w:lang w:val="en-US" w:eastAsia="en-GB"/>
              </w:rPr>
              <w:br/>
              <w:t>t (329)</w:t>
            </w:r>
          </w:p>
        </w:tc>
        <w:tc>
          <w:tcPr>
            <w:tcW w:w="1000"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19561</w:t>
            </w:r>
          </w:p>
        </w:tc>
        <w:tc>
          <w:tcPr>
            <w:tcW w:w="1455"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7.01</w:t>
            </w:r>
          </w:p>
        </w:tc>
        <w:tc>
          <w:tcPr>
            <w:tcW w:w="1016"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0.007</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-19</w:t>
            </w:r>
          </w:p>
        </w:tc>
        <w:tc>
          <w:tcPr>
            <w:tcW w:w="761"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10</w:t>
            </w:r>
          </w:p>
        </w:tc>
        <w:tc>
          <w:tcPr>
            <w:tcW w:w="767" w:type="dxa"/>
            <w:tcBorders>
              <w:top w:val="nil"/>
              <w:left w:val="nil"/>
              <w:bottom w:val="nil"/>
              <w:right w:val="nil"/>
            </w:tcBorders>
            <w:shd w:val="clear" w:color="auto" w:fill="auto"/>
            <w:noWrap/>
            <w:vAlign w:val="center"/>
            <w:hideMark/>
          </w:tcPr>
          <w:p w:rsidR="005359D8" w:rsidRPr="00512D8C" w:rsidRDefault="005359D8" w:rsidP="005F171C">
            <w:pPr>
              <w:jc w:val="center"/>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38</w:t>
            </w:r>
          </w:p>
        </w:tc>
        <w:tc>
          <w:tcPr>
            <w:tcW w:w="2467" w:type="dxa"/>
            <w:gridSpan w:val="2"/>
            <w:tcBorders>
              <w:top w:val="nil"/>
              <w:left w:val="nil"/>
              <w:bottom w:val="nil"/>
              <w:right w:val="nil"/>
            </w:tcBorders>
            <w:shd w:val="clear" w:color="auto" w:fill="auto"/>
            <w:vAlign w:val="center"/>
            <w:hideMark/>
          </w:tcPr>
          <w:p w:rsidR="005359D8" w:rsidRPr="00512D8C" w:rsidRDefault="005359D8" w:rsidP="005F171C">
            <w:pPr>
              <w:jc w:val="right"/>
              <w:rPr>
                <w:rFonts w:ascii="Calibri" w:eastAsia="Times New Roman" w:hAnsi="Calibri" w:cs="Times New Roman"/>
                <w:color w:val="000000"/>
                <w:sz w:val="20"/>
                <w:szCs w:val="20"/>
                <w:lang w:val="en-US" w:eastAsia="en-GB"/>
              </w:rPr>
            </w:pPr>
            <w:r w:rsidRPr="00512D8C">
              <w:rPr>
                <w:rFonts w:ascii="Calibri" w:eastAsia="Times New Roman" w:hAnsi="Calibri" w:cs="Times New Roman"/>
                <w:color w:val="000000"/>
                <w:sz w:val="20"/>
                <w:szCs w:val="20"/>
                <w:lang w:val="en-US" w:eastAsia="en-GB"/>
              </w:rPr>
              <w:t xml:space="preserve">L anterior </w:t>
            </w:r>
            <w:r w:rsidRPr="00512D8C">
              <w:rPr>
                <w:rFonts w:ascii="Calibri" w:eastAsia="Times New Roman" w:hAnsi="Calibri" w:cs="Times New Roman"/>
                <w:color w:val="000000"/>
                <w:sz w:val="20"/>
                <w:szCs w:val="20"/>
                <w:lang w:val="en-US" w:eastAsia="en-GB"/>
              </w:rPr>
              <w:br/>
              <w:t>thalamic radiation</w:t>
            </w:r>
          </w:p>
        </w:tc>
      </w:tr>
    </w:tbl>
    <w:p w:rsidR="005359D8" w:rsidRDefault="005359D8" w:rsidP="00CC1A1A">
      <w:pPr>
        <w:rPr>
          <w:lang w:val="en-US"/>
        </w:rPr>
        <w:sectPr w:rsidR="005359D8" w:rsidSect="005F171C">
          <w:pgSz w:w="16840" w:h="11900" w:orient="landscape"/>
          <w:pgMar w:top="1440" w:right="1440" w:bottom="1440" w:left="1440" w:header="708" w:footer="708" w:gutter="0"/>
          <w:cols w:space="708"/>
          <w:docGrid w:linePitch="360"/>
        </w:sectPr>
      </w:pPr>
    </w:p>
    <w:p w:rsidR="005359D8" w:rsidRPr="00CC1A1A" w:rsidRDefault="005359D8" w:rsidP="00CC1A1A">
      <w:pPr>
        <w:keepNext/>
        <w:keepLines/>
        <w:numPr>
          <w:ilvl w:val="2"/>
          <w:numId w:val="0"/>
        </w:numPr>
        <w:spacing w:before="120" w:after="200"/>
        <w:outlineLvl w:val="2"/>
        <w:rPr>
          <w:rFonts w:ascii="Calibri" w:eastAsia="MS Gothic" w:hAnsi="Calibri" w:cs="Times New Roman"/>
          <w:b/>
          <w:bCs/>
          <w:color w:val="000000"/>
          <w:sz w:val="22"/>
          <w:szCs w:val="22"/>
          <w:lang w:val="en-US" w:eastAsia="en-GB"/>
        </w:rPr>
      </w:pPr>
      <w:r>
        <w:rPr>
          <w:rFonts w:ascii="Calibri" w:eastAsia="MS Gothic" w:hAnsi="Calibri" w:cs="Times New Roman"/>
          <w:b/>
          <w:bCs/>
          <w:color w:val="000000"/>
          <w:sz w:val="22"/>
          <w:szCs w:val="22"/>
          <w:lang w:val="en-US" w:eastAsia="en-GB"/>
        </w:rPr>
        <w:lastRenderedPageBreak/>
        <w:t>References</w:t>
      </w:r>
    </w:p>
    <w:p w:rsidR="005359D8" w:rsidRPr="00865C59" w:rsidRDefault="005359D8" w:rsidP="00865C59">
      <w:pPr>
        <w:pStyle w:val="EndNoteBibliography"/>
        <w:ind w:left="720" w:hanging="720"/>
        <w:rPr>
          <w:noProof/>
        </w:rPr>
      </w:pPr>
      <w:r w:rsidRPr="00865C59">
        <w:rPr>
          <w:noProof/>
        </w:rPr>
        <w:t>1</w:t>
      </w:r>
      <w:r w:rsidRPr="00865C59">
        <w:rPr>
          <w:noProof/>
        </w:rPr>
        <w:tab/>
        <w:t xml:space="preserve">D'Agostino, R. B., Wolf, P. A., Belanger, A. J. &amp; Kannel, W. B. Stroke risk profile: adjustment for antihypertensive medication. The Framingham Study. </w:t>
      </w:r>
      <w:r w:rsidRPr="00865C59">
        <w:rPr>
          <w:i/>
          <w:noProof/>
        </w:rPr>
        <w:t>Stroke</w:t>
      </w:r>
      <w:r w:rsidRPr="00865C59">
        <w:rPr>
          <w:noProof/>
        </w:rPr>
        <w:t xml:space="preserve"> </w:t>
      </w:r>
      <w:r w:rsidRPr="00865C59">
        <w:rPr>
          <w:b/>
          <w:noProof/>
        </w:rPr>
        <w:t>25</w:t>
      </w:r>
      <w:r w:rsidRPr="00865C59">
        <w:rPr>
          <w:noProof/>
        </w:rPr>
        <w:t>, 40-43 (1994).</w:t>
      </w:r>
    </w:p>
    <w:p w:rsidR="005359D8" w:rsidRPr="00865C59" w:rsidRDefault="005359D8" w:rsidP="00865C59">
      <w:pPr>
        <w:pStyle w:val="EndNoteBibliography"/>
        <w:ind w:left="720" w:hanging="720"/>
        <w:rPr>
          <w:noProof/>
        </w:rPr>
      </w:pPr>
      <w:r w:rsidRPr="00865C59">
        <w:rPr>
          <w:noProof/>
        </w:rPr>
        <w:t>2</w:t>
      </w:r>
      <w:r w:rsidRPr="00865C59">
        <w:rPr>
          <w:noProof/>
        </w:rPr>
        <w:tab/>
        <w:t xml:space="preserve">Expert Panel on Detection Evaluation and Treatment of High Blood Cholesterol In Adults (Adult Treatment Panel III). Third Report of The National Cholesterol Education Program (NCEP) - Executive Summary. </w:t>
      </w:r>
      <w:r w:rsidRPr="00865C59">
        <w:rPr>
          <w:i/>
          <w:noProof/>
        </w:rPr>
        <w:t>JAMA</w:t>
      </w:r>
      <w:r w:rsidRPr="00865C59">
        <w:rPr>
          <w:noProof/>
        </w:rPr>
        <w:t xml:space="preserve"> </w:t>
      </w:r>
      <w:r w:rsidRPr="00865C59">
        <w:rPr>
          <w:b/>
          <w:noProof/>
        </w:rPr>
        <w:t>285</w:t>
      </w:r>
      <w:r w:rsidRPr="00865C59">
        <w:rPr>
          <w:noProof/>
        </w:rPr>
        <w:t>, 2486-2497 (2001).</w:t>
      </w:r>
    </w:p>
    <w:p w:rsidR="005359D8" w:rsidRPr="00865C59" w:rsidRDefault="005359D8" w:rsidP="00865C59">
      <w:pPr>
        <w:pStyle w:val="EndNoteBibliography"/>
        <w:ind w:left="720" w:hanging="720"/>
        <w:rPr>
          <w:noProof/>
        </w:rPr>
      </w:pPr>
      <w:r w:rsidRPr="00865C59">
        <w:rPr>
          <w:noProof/>
        </w:rPr>
        <w:t>3</w:t>
      </w:r>
      <w:r w:rsidRPr="00865C59">
        <w:rPr>
          <w:noProof/>
        </w:rPr>
        <w:tab/>
        <w:t xml:space="preserve">Dich, N., Lange, T., Head, J. &amp; Rod, N. H. Work stress, caregiving, and allostatic load: prospective results from the Whitehall II cohort study. </w:t>
      </w:r>
      <w:r w:rsidRPr="00865C59">
        <w:rPr>
          <w:i/>
          <w:noProof/>
        </w:rPr>
        <w:t>Psychosom Med</w:t>
      </w:r>
      <w:r w:rsidRPr="00865C59">
        <w:rPr>
          <w:noProof/>
        </w:rPr>
        <w:t xml:space="preserve"> </w:t>
      </w:r>
      <w:r w:rsidRPr="00865C59">
        <w:rPr>
          <w:b/>
          <w:noProof/>
        </w:rPr>
        <w:t>77</w:t>
      </w:r>
      <w:r w:rsidRPr="00865C59">
        <w:rPr>
          <w:noProof/>
        </w:rPr>
        <w:t>, 539-547, doi:10.1097/PSY.0000000000000191 (2015).</w:t>
      </w:r>
    </w:p>
    <w:p w:rsidR="005359D8" w:rsidRPr="00865C59" w:rsidRDefault="005359D8" w:rsidP="00865C59">
      <w:pPr>
        <w:pStyle w:val="EndNoteBibliography"/>
        <w:ind w:left="720" w:hanging="720"/>
        <w:rPr>
          <w:noProof/>
        </w:rPr>
      </w:pPr>
      <w:r w:rsidRPr="00865C59">
        <w:rPr>
          <w:noProof/>
        </w:rPr>
        <w:t>4</w:t>
      </w:r>
      <w:r w:rsidRPr="00865C59">
        <w:rPr>
          <w:noProof/>
        </w:rPr>
        <w:tab/>
        <w:t xml:space="preserve">Juster, R. P., McEwen, B. S. &amp; Lupien, S. J. Allostatic load biomarkers of chronic stress and impact on health and cognition. </w:t>
      </w:r>
      <w:r w:rsidRPr="00865C59">
        <w:rPr>
          <w:i/>
          <w:noProof/>
        </w:rPr>
        <w:t>Neurosci Biobehav Rev</w:t>
      </w:r>
      <w:r w:rsidRPr="00865C59">
        <w:rPr>
          <w:noProof/>
        </w:rPr>
        <w:t xml:space="preserve"> </w:t>
      </w:r>
      <w:r w:rsidRPr="00865C59">
        <w:rPr>
          <w:b/>
          <w:noProof/>
        </w:rPr>
        <w:t>35</w:t>
      </w:r>
      <w:r w:rsidRPr="00865C59">
        <w:rPr>
          <w:noProof/>
        </w:rPr>
        <w:t>, 2-16, doi:10.1016/j.neubiorev.2009.10.002 (2010).</w:t>
      </w:r>
    </w:p>
    <w:p w:rsidR="005359D8" w:rsidRPr="00865C59" w:rsidRDefault="005359D8" w:rsidP="00865C59">
      <w:pPr>
        <w:pStyle w:val="EndNoteBibliography"/>
        <w:ind w:left="720" w:hanging="720"/>
        <w:rPr>
          <w:noProof/>
        </w:rPr>
      </w:pPr>
      <w:r w:rsidRPr="00865C59">
        <w:rPr>
          <w:noProof/>
        </w:rPr>
        <w:t>5</w:t>
      </w:r>
      <w:r w:rsidRPr="00865C59">
        <w:rPr>
          <w:noProof/>
        </w:rPr>
        <w:tab/>
        <w:t>Douaud, G.</w:t>
      </w:r>
      <w:r w:rsidRPr="00865C59">
        <w:rPr>
          <w:i/>
          <w:noProof/>
        </w:rPr>
        <w:t xml:space="preserve"> et al.</w:t>
      </w:r>
      <w:r w:rsidRPr="00865C59">
        <w:rPr>
          <w:noProof/>
        </w:rPr>
        <w:t xml:space="preserve"> Anatomically related grey and white matter abnormalities in adolescent-onset schizophrenia. </w:t>
      </w:r>
      <w:r w:rsidRPr="00865C59">
        <w:rPr>
          <w:i/>
          <w:noProof/>
        </w:rPr>
        <w:t>Brain</w:t>
      </w:r>
      <w:r w:rsidRPr="00865C59">
        <w:rPr>
          <w:noProof/>
        </w:rPr>
        <w:t xml:space="preserve"> </w:t>
      </w:r>
      <w:r w:rsidRPr="00865C59">
        <w:rPr>
          <w:b/>
          <w:noProof/>
        </w:rPr>
        <w:t>130</w:t>
      </w:r>
      <w:r w:rsidRPr="00865C59">
        <w:rPr>
          <w:noProof/>
        </w:rPr>
        <w:t>, 2375-2386, doi:10.1093/brain/awm184 (2007).</w:t>
      </w:r>
    </w:p>
    <w:p w:rsidR="005359D8" w:rsidRPr="00865C59" w:rsidRDefault="005359D8" w:rsidP="00865C59">
      <w:pPr>
        <w:pStyle w:val="EndNoteBibliography"/>
        <w:ind w:left="720" w:hanging="720"/>
        <w:rPr>
          <w:noProof/>
        </w:rPr>
      </w:pPr>
      <w:r w:rsidRPr="00865C59">
        <w:rPr>
          <w:noProof/>
        </w:rPr>
        <w:t>6</w:t>
      </w:r>
      <w:r w:rsidRPr="00865C59">
        <w:rPr>
          <w:noProof/>
        </w:rPr>
        <w:tab/>
        <w:t>Good, C. D.</w:t>
      </w:r>
      <w:r w:rsidRPr="00865C59">
        <w:rPr>
          <w:i/>
          <w:noProof/>
        </w:rPr>
        <w:t xml:space="preserve"> et al.</w:t>
      </w:r>
      <w:r w:rsidRPr="00865C59">
        <w:rPr>
          <w:noProof/>
        </w:rPr>
        <w:t xml:space="preserve"> A voxel-based morphometric study of ageing in 465 normal adult human brains. </w:t>
      </w:r>
      <w:r w:rsidRPr="00865C59">
        <w:rPr>
          <w:i/>
          <w:noProof/>
        </w:rPr>
        <w:t>Neuroimage</w:t>
      </w:r>
      <w:r w:rsidRPr="00865C59">
        <w:rPr>
          <w:noProof/>
        </w:rPr>
        <w:t xml:space="preserve"> </w:t>
      </w:r>
      <w:r w:rsidRPr="00865C59">
        <w:rPr>
          <w:b/>
          <w:noProof/>
        </w:rPr>
        <w:t>14</w:t>
      </w:r>
      <w:r w:rsidRPr="00865C59">
        <w:rPr>
          <w:noProof/>
        </w:rPr>
        <w:t>, 21-36, doi:10.1006/nimg.2001.0786 (2001).</w:t>
      </w:r>
    </w:p>
    <w:p w:rsidR="005359D8" w:rsidRPr="00865C59" w:rsidRDefault="005359D8" w:rsidP="00865C59">
      <w:pPr>
        <w:pStyle w:val="EndNoteBibliography"/>
        <w:ind w:left="720" w:hanging="720"/>
        <w:rPr>
          <w:noProof/>
        </w:rPr>
      </w:pPr>
      <w:r w:rsidRPr="00865C59">
        <w:rPr>
          <w:noProof/>
        </w:rPr>
        <w:t>7</w:t>
      </w:r>
      <w:r w:rsidRPr="00865C59">
        <w:rPr>
          <w:noProof/>
        </w:rPr>
        <w:tab/>
        <w:t xml:space="preserve">Andersson, J., Jenkinson, M., Smith, S. </w:t>
      </w:r>
      <w:r w:rsidRPr="00865C59">
        <w:rPr>
          <w:i/>
          <w:noProof/>
        </w:rPr>
        <w:t>Non-linear registration, aka spatial normalisation. www.fmrib.ox.ac.uk/analysis/techrep/ 2007/TR07JA2</w:t>
      </w:r>
      <w:r w:rsidRPr="00865C59">
        <w:rPr>
          <w:noProof/>
        </w:rPr>
        <w:t>, 2010).</w:t>
      </w:r>
    </w:p>
    <w:p w:rsidR="005359D8" w:rsidRPr="00865C59" w:rsidRDefault="005359D8" w:rsidP="00865C59">
      <w:pPr>
        <w:pStyle w:val="EndNoteBibliography"/>
        <w:ind w:left="720" w:hanging="720"/>
        <w:rPr>
          <w:noProof/>
        </w:rPr>
      </w:pPr>
      <w:r w:rsidRPr="00865C59">
        <w:rPr>
          <w:noProof/>
        </w:rPr>
        <w:t>8</w:t>
      </w:r>
      <w:r w:rsidRPr="00865C59">
        <w:rPr>
          <w:noProof/>
        </w:rPr>
        <w:tab/>
        <w:t xml:space="preserve">Andersson, J. L. R., Skare, S. &amp; Ashburner, J. How to correct susceptibility distortions in spin-echo echo-planar images: application to diffusion tensor imaging. </w:t>
      </w:r>
      <w:r w:rsidRPr="00865C59">
        <w:rPr>
          <w:i/>
          <w:noProof/>
        </w:rPr>
        <w:t>Neuroimage</w:t>
      </w:r>
      <w:r w:rsidRPr="00865C59">
        <w:rPr>
          <w:noProof/>
        </w:rPr>
        <w:t xml:space="preserve"> </w:t>
      </w:r>
      <w:r w:rsidRPr="00865C59">
        <w:rPr>
          <w:b/>
          <w:noProof/>
        </w:rPr>
        <w:t>20</w:t>
      </w:r>
      <w:r w:rsidRPr="00865C59">
        <w:rPr>
          <w:noProof/>
        </w:rPr>
        <w:t>, 870-888, doi:10.1016/S1053-8119(03)00336-7 (2003).</w:t>
      </w:r>
    </w:p>
    <w:p w:rsidR="005359D8" w:rsidRPr="00865C59" w:rsidRDefault="005359D8" w:rsidP="00865C59">
      <w:pPr>
        <w:pStyle w:val="EndNoteBibliography"/>
        <w:ind w:left="720" w:hanging="720"/>
        <w:rPr>
          <w:noProof/>
        </w:rPr>
      </w:pPr>
      <w:r w:rsidRPr="00865C59">
        <w:rPr>
          <w:noProof/>
        </w:rPr>
        <w:t>9</w:t>
      </w:r>
      <w:r w:rsidRPr="00865C59">
        <w:rPr>
          <w:noProof/>
        </w:rPr>
        <w:tab/>
        <w:t xml:space="preserve">Andersson, J. L. R. &amp; Sotiropoulos, S. N. An integrated approach to correction for off-resonance effects and subject movement in diffusion MR imaging. </w:t>
      </w:r>
      <w:r w:rsidRPr="00865C59">
        <w:rPr>
          <w:i/>
          <w:noProof/>
        </w:rPr>
        <w:t>Neuroimage</w:t>
      </w:r>
      <w:r w:rsidRPr="00865C59">
        <w:rPr>
          <w:noProof/>
        </w:rPr>
        <w:t xml:space="preserve"> </w:t>
      </w:r>
      <w:r w:rsidRPr="00865C59">
        <w:rPr>
          <w:b/>
          <w:noProof/>
        </w:rPr>
        <w:t>125</w:t>
      </w:r>
      <w:r w:rsidRPr="00865C59">
        <w:rPr>
          <w:noProof/>
        </w:rPr>
        <w:t>, 1063-1078, doi:10.1016/j.neuroimage.2015.10.019 (2016).</w:t>
      </w:r>
    </w:p>
    <w:p w:rsidR="005359D8" w:rsidRPr="00865C59" w:rsidRDefault="005359D8" w:rsidP="00865C59">
      <w:pPr>
        <w:pStyle w:val="EndNoteBibliography"/>
        <w:ind w:left="720" w:hanging="720"/>
        <w:rPr>
          <w:noProof/>
        </w:rPr>
      </w:pPr>
      <w:r w:rsidRPr="00865C59">
        <w:rPr>
          <w:noProof/>
        </w:rPr>
        <w:t>10</w:t>
      </w:r>
      <w:r w:rsidRPr="00865C59">
        <w:rPr>
          <w:noProof/>
        </w:rPr>
        <w:tab/>
        <w:t xml:space="preserve">Andersson, J. L., Graham, M. S., Zsoldos, E. &amp; Sotiropoulos, S. N. Incorporating outlier detection and replacement into a non-parametric framework for movement and distortion correction of diffusion MR images. </w:t>
      </w:r>
      <w:r w:rsidRPr="00865C59">
        <w:rPr>
          <w:i/>
          <w:noProof/>
        </w:rPr>
        <w:t>Neuroimage</w:t>
      </w:r>
      <w:r w:rsidRPr="00865C59">
        <w:rPr>
          <w:noProof/>
        </w:rPr>
        <w:t>, doi:10.1016/j.neuroimage.2016.06.058 (2016).</w:t>
      </w:r>
    </w:p>
    <w:p w:rsidR="005359D8" w:rsidRPr="00865C59" w:rsidRDefault="005359D8" w:rsidP="00865C59">
      <w:pPr>
        <w:pStyle w:val="EndNoteBibliography"/>
        <w:ind w:left="720" w:hanging="720"/>
        <w:rPr>
          <w:noProof/>
        </w:rPr>
      </w:pPr>
      <w:r w:rsidRPr="00865C59">
        <w:rPr>
          <w:noProof/>
        </w:rPr>
        <w:t>11</w:t>
      </w:r>
      <w:r w:rsidRPr="00865C59">
        <w:rPr>
          <w:noProof/>
        </w:rPr>
        <w:tab/>
        <w:t>Smith, S. M.</w:t>
      </w:r>
      <w:r w:rsidRPr="00865C59">
        <w:rPr>
          <w:i/>
          <w:noProof/>
        </w:rPr>
        <w:t xml:space="preserve"> et al.</w:t>
      </w:r>
      <w:r w:rsidRPr="00865C59">
        <w:rPr>
          <w:noProof/>
        </w:rPr>
        <w:t xml:space="preserve"> Tract-based spatial statistics: voxelwise analysis of multi-subject diffusion data. </w:t>
      </w:r>
      <w:r w:rsidRPr="00865C59">
        <w:rPr>
          <w:i/>
          <w:noProof/>
        </w:rPr>
        <w:t>Neuroimage</w:t>
      </w:r>
      <w:r w:rsidRPr="00865C59">
        <w:rPr>
          <w:noProof/>
        </w:rPr>
        <w:t xml:space="preserve"> </w:t>
      </w:r>
      <w:r w:rsidRPr="00865C59">
        <w:rPr>
          <w:b/>
          <w:noProof/>
        </w:rPr>
        <w:t>31</w:t>
      </w:r>
      <w:r w:rsidRPr="00865C59">
        <w:rPr>
          <w:noProof/>
        </w:rPr>
        <w:t>, 1487-1505, doi:10.1016/j.neuroimage.2006.02.024 (2006).</w:t>
      </w:r>
    </w:p>
    <w:p w:rsidR="005359D8" w:rsidRPr="00865C59" w:rsidRDefault="005359D8" w:rsidP="00865C59">
      <w:pPr>
        <w:pStyle w:val="EndNoteBibliography"/>
        <w:ind w:left="720" w:hanging="720"/>
        <w:rPr>
          <w:noProof/>
        </w:rPr>
      </w:pPr>
      <w:r w:rsidRPr="00865C59">
        <w:rPr>
          <w:noProof/>
        </w:rPr>
        <w:t>12</w:t>
      </w:r>
      <w:r w:rsidRPr="00865C59">
        <w:rPr>
          <w:noProof/>
        </w:rPr>
        <w:tab/>
        <w:t xml:space="preserve">Smith, S. M. Fast robust automated brain extraction. </w:t>
      </w:r>
      <w:r w:rsidRPr="00865C59">
        <w:rPr>
          <w:i/>
          <w:noProof/>
        </w:rPr>
        <w:t>Hum Brain Mapp</w:t>
      </w:r>
      <w:r w:rsidRPr="00865C59">
        <w:rPr>
          <w:noProof/>
        </w:rPr>
        <w:t xml:space="preserve"> </w:t>
      </w:r>
      <w:r w:rsidRPr="00865C59">
        <w:rPr>
          <w:b/>
          <w:noProof/>
        </w:rPr>
        <w:t>17</w:t>
      </w:r>
      <w:r w:rsidRPr="00865C59">
        <w:rPr>
          <w:noProof/>
        </w:rPr>
        <w:t>, 143-155, doi:10.1002/hbm.10062 (2002).</w:t>
      </w:r>
    </w:p>
    <w:p w:rsidR="005359D8" w:rsidRPr="00865C59" w:rsidRDefault="005359D8" w:rsidP="00865C59">
      <w:pPr>
        <w:pStyle w:val="EndNoteBibliography"/>
        <w:ind w:left="720" w:hanging="720"/>
        <w:rPr>
          <w:noProof/>
        </w:rPr>
      </w:pPr>
      <w:r w:rsidRPr="00865C59">
        <w:rPr>
          <w:noProof/>
        </w:rPr>
        <w:t>13</w:t>
      </w:r>
      <w:r w:rsidRPr="00865C59">
        <w:rPr>
          <w:noProof/>
        </w:rPr>
        <w:tab/>
        <w:t>Rueckert, D.</w:t>
      </w:r>
      <w:r w:rsidRPr="00865C59">
        <w:rPr>
          <w:i/>
          <w:noProof/>
        </w:rPr>
        <w:t xml:space="preserve"> et al.</w:t>
      </w:r>
      <w:r w:rsidRPr="00865C59">
        <w:rPr>
          <w:noProof/>
        </w:rPr>
        <w:t xml:space="preserve"> Nonrigid registration using free-form deformations: application to breast MR images. </w:t>
      </w:r>
      <w:r w:rsidRPr="00865C59">
        <w:rPr>
          <w:i/>
          <w:noProof/>
        </w:rPr>
        <w:t>IEEE Trans Med Imaging</w:t>
      </w:r>
      <w:r w:rsidRPr="00865C59">
        <w:rPr>
          <w:noProof/>
        </w:rPr>
        <w:t xml:space="preserve"> </w:t>
      </w:r>
      <w:r w:rsidRPr="00865C59">
        <w:rPr>
          <w:b/>
          <w:noProof/>
        </w:rPr>
        <w:t>18</w:t>
      </w:r>
      <w:r w:rsidRPr="00865C59">
        <w:rPr>
          <w:noProof/>
        </w:rPr>
        <w:t>, 712-721, doi:10.1109/42.796284 (1999).</w:t>
      </w:r>
    </w:p>
    <w:p w:rsidR="005359D8" w:rsidRPr="006B5DF2" w:rsidRDefault="005359D8">
      <w:pPr>
        <w:rPr>
          <w:sz w:val="22"/>
          <w:szCs w:val="22"/>
          <w:lang w:val="en-US"/>
        </w:rPr>
      </w:pPr>
    </w:p>
    <w:p w:rsidR="00365D4E" w:rsidRDefault="005359D8">
      <w:bookmarkStart w:id="1" w:name="_GoBack"/>
      <w:bookmarkEnd w:id="1"/>
    </w:p>
    <w:sectPr w:rsidR="00365D4E" w:rsidSect="001026F4">
      <w:headerReference w:type="even" r:id="rId6"/>
      <w:headerReference w:type="default" r:id="rI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9A" w:rsidRPr="00340457" w:rsidRDefault="005359D8" w:rsidP="00833D9A">
    <w:pPr>
      <w:pStyle w:val="Header"/>
      <w:framePr w:wrap="none" w:vAnchor="text" w:hAnchor="margin" w:xAlign="right" w:y="1"/>
      <w:rPr>
        <w:rStyle w:val="PageNumber"/>
        <w:sz w:val="20"/>
        <w:szCs w:val="20"/>
      </w:rPr>
    </w:pPr>
    <w:r w:rsidRPr="00340457">
      <w:rPr>
        <w:rStyle w:val="PageNumber"/>
        <w:sz w:val="20"/>
        <w:szCs w:val="20"/>
      </w:rPr>
      <w:fldChar w:fldCharType="begin"/>
    </w:r>
    <w:r w:rsidRPr="00340457">
      <w:rPr>
        <w:rStyle w:val="PageNumber"/>
        <w:sz w:val="20"/>
        <w:szCs w:val="20"/>
      </w:rPr>
      <w:instrText xml:space="preserve">PAGE  </w:instrText>
    </w:r>
    <w:r w:rsidRPr="00340457">
      <w:rPr>
        <w:rStyle w:val="PageNumber"/>
        <w:sz w:val="20"/>
        <w:szCs w:val="20"/>
      </w:rPr>
      <w:fldChar w:fldCharType="separate"/>
    </w:r>
    <w:r>
      <w:rPr>
        <w:rStyle w:val="PageNumber"/>
        <w:noProof/>
        <w:sz w:val="20"/>
        <w:szCs w:val="20"/>
      </w:rPr>
      <w:t>11</w:t>
    </w:r>
    <w:r w:rsidRPr="00340457">
      <w:rPr>
        <w:rStyle w:val="PageNumber"/>
        <w:sz w:val="20"/>
        <w:szCs w:val="20"/>
      </w:rPr>
      <w:fldChar w:fldCharType="end"/>
    </w:r>
  </w:p>
  <w:p w:rsidR="00833D9A" w:rsidRDefault="005359D8">
    <w:pPr>
      <w:pStyle w:val="Footer"/>
    </w:pPr>
    <w:r w:rsidRPr="009668AA">
      <w:rPr>
        <w:rFonts w:ascii="Calibri" w:hAnsi="Calibri"/>
        <w:sz w:val="20"/>
        <w:szCs w:val="20"/>
      </w:rPr>
      <w:t>Enikő Zsoldos</w:t>
    </w:r>
    <w:r>
      <w:ptab w:relativeTo="margin" w:alignment="center" w:leader="none"/>
    </w:r>
    <w:r>
      <w:rPr>
        <w:rFonts w:ascii="Calibri" w:hAnsi="Calibri"/>
        <w:sz w:val="20"/>
        <w:szCs w:val="20"/>
      </w:rPr>
      <w:t xml:space="preserve">Scientific Reports - </w:t>
    </w:r>
    <w:r>
      <w:rPr>
        <w:rFonts w:ascii="Calibri" w:hAnsi="Calibri"/>
        <w:sz w:val="20"/>
        <w:szCs w:val="20"/>
      </w:rPr>
      <w:t>Supplement</w:t>
    </w:r>
    <w:r>
      <w:ptab w:relativeTo="margin" w:alignment="right" w:leader="none"/>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1C" w:rsidRDefault="005359D8" w:rsidP="005F171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171C" w:rsidRDefault="005359D8" w:rsidP="003404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1C" w:rsidRPr="00340457" w:rsidRDefault="005359D8" w:rsidP="005F171C">
    <w:pPr>
      <w:pStyle w:val="Header"/>
      <w:framePr w:wrap="none" w:vAnchor="text" w:hAnchor="margin" w:xAlign="right" w:y="1"/>
      <w:rPr>
        <w:rStyle w:val="PageNumber"/>
        <w:sz w:val="20"/>
        <w:szCs w:val="20"/>
      </w:rPr>
    </w:pPr>
    <w:r w:rsidRPr="00340457">
      <w:rPr>
        <w:rStyle w:val="PageNumber"/>
        <w:sz w:val="20"/>
        <w:szCs w:val="20"/>
      </w:rPr>
      <w:fldChar w:fldCharType="begin"/>
    </w:r>
    <w:r w:rsidRPr="00340457">
      <w:rPr>
        <w:rStyle w:val="PageNumber"/>
        <w:sz w:val="20"/>
        <w:szCs w:val="20"/>
      </w:rPr>
      <w:instrText xml:space="preserve">PAGE  </w:instrText>
    </w:r>
    <w:r w:rsidRPr="00340457">
      <w:rPr>
        <w:rStyle w:val="PageNumber"/>
        <w:sz w:val="20"/>
        <w:szCs w:val="20"/>
      </w:rPr>
      <w:fldChar w:fldCharType="separate"/>
    </w:r>
    <w:r>
      <w:rPr>
        <w:rStyle w:val="PageNumber"/>
        <w:noProof/>
        <w:sz w:val="20"/>
        <w:szCs w:val="20"/>
      </w:rPr>
      <w:t>11</w:t>
    </w:r>
    <w:r w:rsidRPr="00340457">
      <w:rPr>
        <w:rStyle w:val="PageNumber"/>
        <w:sz w:val="20"/>
        <w:szCs w:val="20"/>
      </w:rPr>
      <w:fldChar w:fldCharType="end"/>
    </w:r>
  </w:p>
  <w:p w:rsidR="005F171C" w:rsidRDefault="005359D8" w:rsidP="00340457">
    <w:pPr>
      <w:pStyle w:val="Header"/>
      <w:ind w:right="360"/>
    </w:pPr>
    <w:r w:rsidRPr="009668AA">
      <w:rPr>
        <w:rFonts w:ascii="Calibri" w:hAnsi="Calibri"/>
        <w:sz w:val="20"/>
        <w:szCs w:val="20"/>
      </w:rPr>
      <w:t>Enikő Zsoldos</w:t>
    </w:r>
    <w:r w:rsidRPr="009668AA">
      <w:rPr>
        <w:rFonts w:ascii="Calibri" w:hAnsi="Calibri"/>
        <w:sz w:val="20"/>
        <w:szCs w:val="20"/>
      </w:rPr>
      <w:tab/>
    </w:r>
    <w:r>
      <w:rPr>
        <w:rFonts w:ascii="Calibri" w:hAnsi="Calibri"/>
        <w:sz w:val="20"/>
        <w:szCs w:val="20"/>
      </w:rPr>
      <w:t xml:space="preserve">Scientific </w:t>
    </w:r>
    <w:r>
      <w:rPr>
        <w:rFonts w:ascii="Calibri" w:hAnsi="Calibri"/>
        <w:sz w:val="20"/>
        <w:szCs w:val="20"/>
      </w:rPr>
      <w:t>Reports</w:t>
    </w:r>
    <w:r w:rsidRPr="009668AA">
      <w:rPr>
        <w:rFonts w:ascii="Calibri" w:hAnsi="Calibri"/>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359D8"/>
    <w:rsid w:val="000C022A"/>
    <w:rsid w:val="001368E8"/>
    <w:rsid w:val="005359D8"/>
    <w:rsid w:val="005B0B60"/>
    <w:rsid w:val="0082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9A51362-8DCC-0442-99AA-B0ACD977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9D8"/>
  </w:style>
  <w:style w:type="character" w:default="1" w:styleId="DefaultParagraphFont">
    <w:name w:val="Default Paragraph Font"/>
    <w:uiPriority w:val="1"/>
    <w:semiHidden/>
    <w:unhideWhenUsed/>
    <w:rsid w:val="005359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59D8"/>
  </w:style>
  <w:style w:type="paragraph" w:customStyle="1" w:styleId="EndNoteBibliographyTitle">
    <w:name w:val="EndNote Bibliography Title"/>
    <w:basedOn w:val="Normal"/>
    <w:rsid w:val="005359D8"/>
    <w:pPr>
      <w:jc w:val="center"/>
    </w:pPr>
    <w:rPr>
      <w:rFonts w:ascii="Calibri" w:hAnsi="Calibri"/>
      <w:lang w:val="en-US"/>
    </w:rPr>
  </w:style>
  <w:style w:type="paragraph" w:customStyle="1" w:styleId="EndNoteBibliography">
    <w:name w:val="EndNote Bibliography"/>
    <w:basedOn w:val="Normal"/>
    <w:rsid w:val="005359D8"/>
    <w:rPr>
      <w:rFonts w:ascii="Calibri" w:hAnsi="Calibri"/>
      <w:lang w:val="en-US"/>
    </w:rPr>
  </w:style>
  <w:style w:type="character" w:styleId="Hyperlink">
    <w:name w:val="Hyperlink"/>
    <w:basedOn w:val="DefaultParagraphFont"/>
    <w:uiPriority w:val="99"/>
    <w:unhideWhenUsed/>
    <w:rsid w:val="005359D8"/>
    <w:rPr>
      <w:color w:val="0563C1" w:themeColor="hyperlink"/>
      <w:u w:val="single"/>
    </w:rPr>
  </w:style>
  <w:style w:type="paragraph" w:styleId="Header">
    <w:name w:val="header"/>
    <w:basedOn w:val="Normal"/>
    <w:link w:val="HeaderChar"/>
    <w:uiPriority w:val="99"/>
    <w:unhideWhenUsed/>
    <w:rsid w:val="005359D8"/>
    <w:pPr>
      <w:tabs>
        <w:tab w:val="center" w:pos="4513"/>
        <w:tab w:val="right" w:pos="9026"/>
      </w:tabs>
    </w:pPr>
  </w:style>
  <w:style w:type="character" w:customStyle="1" w:styleId="HeaderChar">
    <w:name w:val="Header Char"/>
    <w:basedOn w:val="DefaultParagraphFont"/>
    <w:link w:val="Header"/>
    <w:uiPriority w:val="99"/>
    <w:rsid w:val="005359D8"/>
  </w:style>
  <w:style w:type="paragraph" w:styleId="Footer">
    <w:name w:val="footer"/>
    <w:basedOn w:val="Normal"/>
    <w:link w:val="FooterChar"/>
    <w:uiPriority w:val="99"/>
    <w:unhideWhenUsed/>
    <w:rsid w:val="005359D8"/>
    <w:pPr>
      <w:tabs>
        <w:tab w:val="center" w:pos="4513"/>
        <w:tab w:val="right" w:pos="9026"/>
      </w:tabs>
    </w:pPr>
  </w:style>
  <w:style w:type="character" w:customStyle="1" w:styleId="FooterChar">
    <w:name w:val="Footer Char"/>
    <w:basedOn w:val="DefaultParagraphFont"/>
    <w:link w:val="Footer"/>
    <w:uiPriority w:val="99"/>
    <w:rsid w:val="005359D8"/>
  </w:style>
  <w:style w:type="character" w:styleId="PageNumber">
    <w:name w:val="page number"/>
    <w:basedOn w:val="DefaultParagraphFont"/>
    <w:uiPriority w:val="99"/>
    <w:semiHidden/>
    <w:unhideWhenUsed/>
    <w:rsid w:val="005359D8"/>
  </w:style>
  <w:style w:type="table" w:customStyle="1" w:styleId="ListTable2-Accent11">
    <w:name w:val="List Table 2 - Accent 11"/>
    <w:basedOn w:val="TableNormal"/>
    <w:uiPriority w:val="47"/>
    <w:rsid w:val="005359D8"/>
    <w:rPr>
      <w:rFonts w:eastAsia="MS Mincho"/>
      <w:lang w:val="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alloonText">
    <w:name w:val="Balloon Text"/>
    <w:basedOn w:val="Normal"/>
    <w:link w:val="BalloonTextChar"/>
    <w:uiPriority w:val="99"/>
    <w:semiHidden/>
    <w:unhideWhenUsed/>
    <w:rsid w:val="00535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D8"/>
    <w:rPr>
      <w:rFonts w:ascii="Segoe UI" w:hAnsi="Segoe UI" w:cs="Segoe UI"/>
      <w:sz w:val="18"/>
      <w:szCs w:val="18"/>
    </w:rPr>
  </w:style>
  <w:style w:type="character" w:styleId="CommentReference">
    <w:name w:val="annotation reference"/>
    <w:basedOn w:val="DefaultParagraphFont"/>
    <w:uiPriority w:val="99"/>
    <w:semiHidden/>
    <w:unhideWhenUsed/>
    <w:rsid w:val="005359D8"/>
    <w:rPr>
      <w:sz w:val="18"/>
      <w:szCs w:val="18"/>
    </w:rPr>
  </w:style>
  <w:style w:type="paragraph" w:styleId="CommentText">
    <w:name w:val="annotation text"/>
    <w:basedOn w:val="Normal"/>
    <w:link w:val="CommentTextChar"/>
    <w:uiPriority w:val="99"/>
    <w:unhideWhenUsed/>
    <w:rsid w:val="005359D8"/>
    <w:rPr>
      <w:rFonts w:ascii="Calibri" w:eastAsiaTheme="minorEastAsia" w:hAnsi="Calibri"/>
    </w:rPr>
  </w:style>
  <w:style w:type="character" w:customStyle="1" w:styleId="CommentTextChar">
    <w:name w:val="Comment Text Char"/>
    <w:basedOn w:val="DefaultParagraphFont"/>
    <w:link w:val="CommentText"/>
    <w:uiPriority w:val="99"/>
    <w:rsid w:val="005359D8"/>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5359D8"/>
    <w:rPr>
      <w:b/>
      <w:bCs/>
      <w:sz w:val="20"/>
      <w:szCs w:val="20"/>
    </w:rPr>
  </w:style>
  <w:style w:type="character" w:customStyle="1" w:styleId="CommentSubjectChar">
    <w:name w:val="Comment Subject Char"/>
    <w:basedOn w:val="CommentTextChar"/>
    <w:link w:val="CommentSubject"/>
    <w:uiPriority w:val="99"/>
    <w:semiHidden/>
    <w:rsid w:val="005359D8"/>
    <w:rPr>
      <w:rFonts w:ascii="Calibri" w:eastAsiaTheme="minorEastAsia"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hyperlink" Target="http://fsl.fmrib.oc.ac.uk/fsl/fd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2531</Words>
  <Characters>14430</Characters>
  <Application>Microsoft Office Word</Application>
  <DocSecurity>0</DocSecurity>
  <Lines>120</Lines>
  <Paragraphs>33</Paragraphs>
  <ScaleCrop>false</ScaleCrop>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 Zsoldos</dc:creator>
  <cp:keywords/>
  <dc:description/>
  <cp:lastModifiedBy>Eniko Zsoldos</cp:lastModifiedBy>
  <cp:revision>1</cp:revision>
  <dcterms:created xsi:type="dcterms:W3CDTF">2018-03-14T21:49:00Z</dcterms:created>
  <dcterms:modified xsi:type="dcterms:W3CDTF">2018-03-14T21:50:00Z</dcterms:modified>
</cp:coreProperties>
</file>